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8: The COE ProcessLevel 1: Completing the COE&#10;"/>
      </w:tblPr>
      <w:tblGrid>
        <w:gridCol w:w="6896"/>
        <w:gridCol w:w="3004"/>
      </w:tblGrid>
      <w:tr w:rsidR="003F5789" w14:paraId="2EB769CC" w14:textId="77777777" w:rsidTr="00AC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69BA64BC" w14:textId="77777777" w:rsidR="003F5789" w:rsidRPr="00131DF3" w:rsidRDefault="003F5789" w:rsidP="00FA71A3">
            <w:pPr>
              <w:pStyle w:val="Heading2"/>
              <w:jc w:val="left"/>
              <w:outlineLvl w:val="1"/>
              <w:rPr>
                <w:color w:val="333333" w:themeColor="text1"/>
              </w:rPr>
            </w:pPr>
            <w:r w:rsidRPr="00440896">
              <w:rPr>
                <w:rStyle w:val="Heading1Char"/>
                <w:rFonts w:asciiTheme="minorHAnsi" w:hAnsiTheme="minorHAnsi"/>
              </w:rPr>
              <w:t xml:space="preserve">Module </w:t>
            </w:r>
            <w:r w:rsidR="00FA71A3" w:rsidRPr="00440896">
              <w:rPr>
                <w:rStyle w:val="Heading1Char"/>
                <w:rFonts w:asciiTheme="minorHAnsi" w:hAnsiTheme="minorHAnsi"/>
              </w:rPr>
              <w:t>8</w:t>
            </w:r>
            <w:r w:rsidRPr="00440896">
              <w:rPr>
                <w:rStyle w:val="Heading1Char"/>
                <w:rFonts w:asciiTheme="minorHAnsi" w:hAnsiTheme="minorHAnsi"/>
              </w:rPr>
              <w:t xml:space="preserve">: </w:t>
            </w:r>
            <w:r w:rsidR="00FA71A3" w:rsidRPr="00440896">
              <w:rPr>
                <w:rStyle w:val="Heading1Char"/>
                <w:rFonts w:asciiTheme="minorHAnsi" w:hAnsiTheme="minorHAnsi"/>
              </w:rPr>
              <w:t>The COE Process</w:t>
            </w:r>
            <w:r w:rsidRPr="00736674">
              <w:rPr>
                <w:rStyle w:val="Heading1Char"/>
              </w:rPr>
              <w:t xml:space="preserve">        </w:t>
            </w:r>
            <w:r w:rsidRPr="003F5789">
              <w:rPr>
                <w:rStyle w:val="Heading3Char"/>
              </w:rPr>
              <w:br/>
            </w:r>
            <w:r w:rsidRPr="00E13938">
              <w:rPr>
                <w:rStyle w:val="Heading3Char"/>
                <w:rFonts w:asciiTheme="minorHAnsi" w:hAnsiTheme="minorHAnsi"/>
                <w:sz w:val="36"/>
                <w:szCs w:val="36"/>
              </w:rPr>
              <w:t xml:space="preserve">Level </w:t>
            </w:r>
            <w:r w:rsidR="00FA71A3" w:rsidRPr="00E13938">
              <w:rPr>
                <w:rStyle w:val="Heading3Char"/>
                <w:rFonts w:asciiTheme="minorHAnsi" w:hAnsiTheme="minorHAnsi"/>
                <w:sz w:val="36"/>
                <w:szCs w:val="36"/>
              </w:rPr>
              <w:t>1: Completing the COE</w:t>
            </w:r>
          </w:p>
        </w:tc>
      </w:tr>
      <w:tr w:rsidR="00E536A9" w14:paraId="57EF9C80" w14:textId="77777777" w:rsidTr="005F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62875B" w14:textId="1B4D7D07" w:rsidR="00C63C6D" w:rsidRPr="00736674" w:rsidRDefault="00440896" w:rsidP="00CB669D">
            <w:pPr>
              <w:pStyle w:val="Heading2"/>
              <w:jc w:val="left"/>
              <w:outlineLvl w:val="1"/>
              <w:rPr>
                <w:b/>
              </w:rPr>
            </w:pPr>
            <w:r>
              <w:rPr>
                <w:color w:val="333333" w:themeColor="text1"/>
              </w:rPr>
              <w:br/>
            </w:r>
            <w:r w:rsidR="00131DF3" w:rsidRPr="00736674">
              <w:rPr>
                <w:color w:val="333333" w:themeColor="text1"/>
              </w:rPr>
              <w:t xml:space="preserve">Participant </w:t>
            </w:r>
            <w:r w:rsidR="00AA0F4E" w:rsidRPr="00736674">
              <w:rPr>
                <w:color w:val="333333" w:themeColor="text1"/>
              </w:rPr>
              <w:t>Name: _</w:t>
            </w:r>
            <w:r w:rsidR="00131DF3" w:rsidRPr="00736674">
              <w:rPr>
                <w:color w:val="333333" w:themeColor="text1"/>
              </w:rPr>
              <w:t>_______________</w:t>
            </w:r>
            <w:r w:rsidR="00CB669D" w:rsidRPr="00736674">
              <w:rPr>
                <w:color w:val="333333" w:themeColor="text1"/>
              </w:rPr>
              <w:t>_____________________________</w:t>
            </w:r>
            <w:r w:rsidR="00131DF3" w:rsidRPr="00736674">
              <w:rPr>
                <w:color w:val="333333" w:themeColor="text1"/>
              </w:rPr>
              <w:t>_____</w:t>
            </w:r>
          </w:p>
        </w:tc>
      </w:tr>
      <w:tr w:rsidR="00131DF3" w14:paraId="1078CE65" w14:textId="77777777" w:rsidTr="00D342E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1E53D0AA" w14:textId="77777777" w:rsidR="00131DF3" w:rsidRPr="00560133" w:rsidRDefault="00131DF3" w:rsidP="00440896">
            <w:pPr>
              <w:pStyle w:val="Heading2"/>
              <w:outlineLvl w:val="1"/>
            </w:pPr>
            <w:r w:rsidRPr="00560133">
              <w:t>Outline</w:t>
            </w:r>
          </w:p>
        </w:tc>
      </w:tr>
      <w:tr w:rsidR="00FF31FF" w14:paraId="217721A9" w14:textId="77777777" w:rsidTr="00D3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0592BADB" w14:textId="6B8B901F" w:rsidR="00131DF3" w:rsidRPr="00131DF3" w:rsidRDefault="00131DF3" w:rsidP="00E13938">
            <w:pPr>
              <w:pStyle w:val="Heading3"/>
              <w:outlineLvl w:val="2"/>
            </w:pPr>
            <w:r w:rsidRPr="00131DF3">
              <w:t xml:space="preserve">Level </w:t>
            </w:r>
            <w:r w:rsidR="00E13938">
              <w:t>1</w:t>
            </w:r>
            <w:r w:rsidR="0002395F">
              <w:t>:</w:t>
            </w:r>
            <w:r w:rsidRPr="00131DF3">
              <w:t xml:space="preserve"> Goal</w:t>
            </w:r>
          </w:p>
          <w:p w14:paraId="691725F1" w14:textId="5E3C2288" w:rsidR="00FA71A3" w:rsidRPr="00C22316" w:rsidRDefault="00FA71A3" w:rsidP="00812E8A">
            <w:r w:rsidRPr="00C22316">
              <w:t xml:space="preserve">The </w:t>
            </w:r>
            <w:r w:rsidR="00305826" w:rsidRPr="006D1EAE">
              <w:t>participant</w:t>
            </w:r>
            <w:r w:rsidRPr="00C22316">
              <w:t xml:space="preserve"> will know how to properly complete a Certificate of Eligibility (COE) for common eligibility cases.</w:t>
            </w:r>
          </w:p>
          <w:p w14:paraId="38178C35" w14:textId="77777777" w:rsidR="00843D30" w:rsidRDefault="00843D30" w:rsidP="003F5789">
            <w:pPr>
              <w:spacing w:after="0"/>
              <w:rPr>
                <w:rStyle w:val="Heading3Char"/>
              </w:rPr>
            </w:pPr>
          </w:p>
          <w:p w14:paraId="7A6A982E" w14:textId="01D69C54" w:rsidR="00FA71A3" w:rsidRPr="00131DF3" w:rsidRDefault="00131DF3" w:rsidP="00FA71A3">
            <w:r w:rsidRPr="00E13938">
              <w:rPr>
                <w:rStyle w:val="Heading3Char"/>
              </w:rPr>
              <w:t xml:space="preserve">Level </w:t>
            </w:r>
            <w:r w:rsidR="00FA71A3" w:rsidRPr="00E13938">
              <w:rPr>
                <w:rStyle w:val="Heading3Char"/>
              </w:rPr>
              <w:t>1</w:t>
            </w:r>
            <w:r w:rsidR="0002395F" w:rsidRPr="00E13938">
              <w:rPr>
                <w:rStyle w:val="Heading3Char"/>
              </w:rPr>
              <w:t>:</w:t>
            </w:r>
            <w:r w:rsidRPr="00E13938">
              <w:rPr>
                <w:rStyle w:val="Heading3Char"/>
              </w:rPr>
              <w:t xml:space="preserve"> Objectives</w:t>
            </w:r>
            <w:r w:rsidRPr="00131DF3">
              <w:t xml:space="preserve"> </w:t>
            </w:r>
            <w:r w:rsidRPr="00131DF3">
              <w:br/>
            </w:r>
            <w:r w:rsidR="00FA71A3" w:rsidRPr="006D1EAE">
              <w:t>After completing Level 1</w:t>
            </w:r>
            <w:r w:rsidR="0002395F" w:rsidRPr="006D1EAE">
              <w:t>,</w:t>
            </w:r>
            <w:r w:rsidR="00FA71A3" w:rsidRPr="006D1EAE">
              <w:t xml:space="preserve"> the participant will be able to</w:t>
            </w:r>
          </w:p>
          <w:p w14:paraId="665D0F20" w14:textId="66AEE5DF" w:rsidR="00FA71A3" w:rsidRPr="00C22316" w:rsidRDefault="0002395F" w:rsidP="00440896">
            <w:pPr>
              <w:pStyle w:val="ListParagraph"/>
              <w:numPr>
                <w:ilvl w:val="0"/>
                <w:numId w:val="29"/>
              </w:numPr>
            </w:pPr>
            <w:r>
              <w:t>e</w:t>
            </w:r>
            <w:r w:rsidR="00FA71A3" w:rsidRPr="00C22316">
              <w:t xml:space="preserve">xplain the relationship between the </w:t>
            </w:r>
            <w:r w:rsidR="007D10BD">
              <w:t>N</w:t>
            </w:r>
            <w:r w:rsidR="00FA71A3" w:rsidRPr="00C22316">
              <w:t xml:space="preserve">ational COE and </w:t>
            </w:r>
            <w:r w:rsidR="005A0931">
              <w:t>S</w:t>
            </w:r>
            <w:r w:rsidR="00FA71A3" w:rsidRPr="00C22316">
              <w:t>tate COE</w:t>
            </w:r>
            <w:r>
              <w:t>;</w:t>
            </w:r>
          </w:p>
          <w:p w14:paraId="1B1A268E" w14:textId="761D33D5" w:rsidR="00FA71A3" w:rsidRPr="00C22316" w:rsidRDefault="0002395F" w:rsidP="00440896">
            <w:pPr>
              <w:pStyle w:val="ListParagraph"/>
              <w:numPr>
                <w:ilvl w:val="0"/>
                <w:numId w:val="29"/>
              </w:numPr>
            </w:pPr>
            <w:r>
              <w:t>d</w:t>
            </w:r>
            <w:r w:rsidR="00FA71A3" w:rsidRPr="00C22316">
              <w:t>escribe the purpose of the COE and its components</w:t>
            </w:r>
            <w:r>
              <w:t>;</w:t>
            </w:r>
          </w:p>
          <w:p w14:paraId="5545C697" w14:textId="7E5AAAE7" w:rsidR="00FA71A3" w:rsidRPr="00C22316" w:rsidRDefault="0002395F" w:rsidP="00440896">
            <w:pPr>
              <w:pStyle w:val="ListParagraph"/>
              <w:numPr>
                <w:ilvl w:val="0"/>
                <w:numId w:val="29"/>
              </w:numPr>
            </w:pPr>
            <w:r>
              <w:t>e</w:t>
            </w:r>
            <w:r w:rsidR="00FA71A3" w:rsidRPr="00C22316">
              <w:t>xplain how to complete a COE accurately</w:t>
            </w:r>
            <w:r>
              <w:t>; and</w:t>
            </w:r>
          </w:p>
          <w:p w14:paraId="70E060C0" w14:textId="775B6656" w:rsidR="00131DF3" w:rsidRPr="00144AA3" w:rsidRDefault="0002395F" w:rsidP="0044089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c</w:t>
            </w:r>
            <w:r w:rsidR="00FA71A3" w:rsidRPr="00C22316">
              <w:t>omplete a COE based on an interview and other acquired information.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40B" w14:textId="77777777" w:rsidR="00D328A3" w:rsidRPr="00131DF3" w:rsidRDefault="00D328A3" w:rsidP="0044089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Notes:</w:t>
            </w:r>
          </w:p>
          <w:p w14:paraId="10F85239" w14:textId="77777777" w:rsidR="00131DF3" w:rsidRDefault="00131DF3" w:rsidP="00D328A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FCFA23" w14:textId="77777777" w:rsidR="00F23D85" w:rsidRDefault="00F23D85" w:rsidP="00F521EC">
      <w:pPr>
        <w:pStyle w:val="Heading3"/>
      </w:pPr>
    </w:p>
    <w:p w14:paraId="52324D26" w14:textId="17C48D99" w:rsidR="00C20B29" w:rsidRDefault="00C20B29" w:rsidP="00C20B29">
      <w:pPr>
        <w:pStyle w:val="Heading3"/>
      </w:pPr>
      <w:r>
        <w:t>The National COE: Background</w:t>
      </w:r>
      <w:r>
        <w:br/>
      </w:r>
    </w:p>
    <w:p w14:paraId="6EC69906" w14:textId="4A8D9D91" w:rsidR="00C20B29" w:rsidRDefault="00C20B29" w:rsidP="00C20B29">
      <w:pPr>
        <w:pStyle w:val="ListParagraph"/>
        <w:numPr>
          <w:ilvl w:val="0"/>
          <w:numId w:val="31"/>
        </w:numPr>
      </w:pPr>
      <w:r>
        <w:t xml:space="preserve">May 2017: ED, Office of Migrant Education issued a </w:t>
      </w:r>
      <w:r w:rsidR="003B5785">
        <w:t>National COE template that all S</w:t>
      </w:r>
      <w:r>
        <w:t xml:space="preserve">tates are required to use. </w:t>
      </w:r>
    </w:p>
    <w:p w14:paraId="3A8C05D6" w14:textId="7DB3F41D" w:rsidR="00C20B29" w:rsidRDefault="00C20B29" w:rsidP="003B5785">
      <w:pPr>
        <w:pStyle w:val="ListParagraph"/>
        <w:numPr>
          <w:ilvl w:val="0"/>
          <w:numId w:val="31"/>
        </w:numPr>
      </w:pPr>
      <w:r>
        <w:t xml:space="preserve">This form and accompanying instructions </w:t>
      </w:r>
      <w:proofErr w:type="gramStart"/>
      <w:r>
        <w:t>establishes</w:t>
      </w:r>
      <w:proofErr w:type="gramEnd"/>
      <w:r>
        <w:t xml:space="preserve"> the minimum requirements the SEA must meet in documenting its eligibility determinations under the MEP.</w:t>
      </w:r>
    </w:p>
    <w:p w14:paraId="28C8B1B8" w14:textId="214442F3" w:rsidR="00C20B29" w:rsidRDefault="00C20B29" w:rsidP="00C20B29">
      <w:pPr>
        <w:pStyle w:val="ListParagraph"/>
        <w:numPr>
          <w:ilvl w:val="0"/>
          <w:numId w:val="31"/>
        </w:numPr>
      </w:pPr>
      <w:r>
        <w:t>Every State COE must include the required elements of the National COE.</w:t>
      </w:r>
    </w:p>
    <w:p w14:paraId="3656A48E" w14:textId="77777777" w:rsidR="00C20B29" w:rsidRDefault="00C20B29" w:rsidP="00C20B29"/>
    <w:p w14:paraId="34F3A4B8" w14:textId="1B51D06B" w:rsidR="00C20B29" w:rsidRDefault="00C20B29" w:rsidP="00C20B29">
      <w:pPr>
        <w:pStyle w:val="ListParagraph"/>
        <w:numPr>
          <w:ilvl w:val="0"/>
          <w:numId w:val="32"/>
        </w:numPr>
      </w:pPr>
      <w:r>
        <w:t>In the second bullet on Slide 6, what is meant by the phrase, “this form…establishes the minimum requirements”?</w:t>
      </w:r>
    </w:p>
    <w:p w14:paraId="0202E51D" w14:textId="77777777" w:rsidR="00C20B29" w:rsidRDefault="00C20B29" w:rsidP="00C20B29">
      <w:pPr>
        <w:ind w:left="720"/>
      </w:pPr>
      <w:r>
        <w:t>_________________________________________________________________________________</w:t>
      </w:r>
    </w:p>
    <w:p w14:paraId="441C3AD7" w14:textId="77777777" w:rsidR="00C20B29" w:rsidRDefault="00C20B29" w:rsidP="00C20B29">
      <w:pPr>
        <w:ind w:left="720"/>
      </w:pPr>
      <w:r>
        <w:t>_________________________________________________________________________________</w:t>
      </w:r>
    </w:p>
    <w:p w14:paraId="0A0A1185" w14:textId="77777777" w:rsidR="00C20B29" w:rsidRDefault="00C20B29" w:rsidP="00C20B29">
      <w:pPr>
        <w:ind w:left="720"/>
      </w:pPr>
      <w:r>
        <w:t>_________________________________________________________________________________</w:t>
      </w:r>
    </w:p>
    <w:p w14:paraId="3F4EC367" w14:textId="77777777" w:rsidR="00C20B29" w:rsidRDefault="00C20B29" w:rsidP="00C20B29"/>
    <w:p w14:paraId="24473EBF" w14:textId="7D314F71" w:rsidR="00C20B29" w:rsidRDefault="00C20B29" w:rsidP="00C20B29"/>
    <w:p w14:paraId="5C3EEF57" w14:textId="2CB5544A" w:rsidR="00C20B29" w:rsidRDefault="00C20B29" w:rsidP="00C20B29">
      <w:pPr>
        <w:pStyle w:val="ListParagraph"/>
        <w:numPr>
          <w:ilvl w:val="0"/>
          <w:numId w:val="32"/>
        </w:numPr>
      </w:pPr>
      <w:r>
        <w:lastRenderedPageBreak/>
        <w:t>What is the relationship between the National COE and a State COE?</w:t>
      </w:r>
    </w:p>
    <w:p w14:paraId="7570CECB" w14:textId="77777777" w:rsidR="00C20B29" w:rsidRDefault="00C20B29" w:rsidP="00C20B29">
      <w:pPr>
        <w:ind w:firstLine="360"/>
      </w:pPr>
      <w:r>
        <w:t>_________________________________________________________________________________</w:t>
      </w:r>
    </w:p>
    <w:p w14:paraId="03BA3B0F" w14:textId="77777777" w:rsidR="00C20B29" w:rsidRDefault="00C20B29" w:rsidP="00C20B29">
      <w:pPr>
        <w:ind w:firstLine="360"/>
      </w:pPr>
      <w:r>
        <w:t>_________________________________________________________________________________</w:t>
      </w:r>
    </w:p>
    <w:p w14:paraId="0614F14D" w14:textId="789B9243" w:rsidR="00F23D85" w:rsidRDefault="00C20B29" w:rsidP="00C20B29">
      <w:pPr>
        <w:ind w:firstLine="360"/>
      </w:pPr>
      <w:r>
        <w:t>_________________________________________________________________________________</w:t>
      </w:r>
    </w:p>
    <w:p w14:paraId="6C79CFB1" w14:textId="77777777" w:rsidR="00F23D85" w:rsidRDefault="00F23D85" w:rsidP="00F521EC">
      <w:pPr>
        <w:pStyle w:val="Heading3"/>
      </w:pPr>
    </w:p>
    <w:p w14:paraId="76CB6402" w14:textId="77777777" w:rsidR="00F521EC" w:rsidRPr="007861E5" w:rsidRDefault="00F521EC" w:rsidP="00383EE3">
      <w:pPr>
        <w:pStyle w:val="Heading3"/>
      </w:pPr>
      <w:r>
        <w:t>Purpose of the COE</w:t>
      </w:r>
    </w:p>
    <w:p w14:paraId="73C893AA" w14:textId="77777777" w:rsidR="00F521EC" w:rsidRPr="00EB2F6C" w:rsidRDefault="00F521EC" w:rsidP="00F521EC">
      <w:pPr>
        <w:rPr>
          <w:rFonts w:ascii="Franklin Gothic Medium" w:hAnsi="Franklin Gothic Medium"/>
          <w:i/>
        </w:rPr>
      </w:pPr>
      <w:r w:rsidRPr="00EB2F6C">
        <w:rPr>
          <w:rFonts w:ascii="Franklin Gothic Medium" w:hAnsi="Franklin Gothic Medium"/>
          <w:i/>
        </w:rPr>
        <w:t>True or False Activity</w:t>
      </w:r>
    </w:p>
    <w:p w14:paraId="70D5D305" w14:textId="77777777" w:rsidR="00532D3D" w:rsidRPr="00351DF6" w:rsidRDefault="00532D3D" w:rsidP="00532D3D">
      <w:pPr>
        <w:spacing w:after="0"/>
        <w:rPr>
          <w:i/>
        </w:rPr>
      </w:pPr>
    </w:p>
    <w:p w14:paraId="5B3BBC4E" w14:textId="1CAC2AAA" w:rsidR="00F521EC" w:rsidRDefault="00F521EC" w:rsidP="00383EE3">
      <w:pPr>
        <w:pStyle w:val="ListParagraph"/>
        <w:numPr>
          <w:ilvl w:val="0"/>
          <w:numId w:val="22"/>
        </w:numPr>
      </w:pPr>
      <w:r>
        <w:t>_____</w:t>
      </w:r>
      <w:r w:rsidRPr="00FD0824">
        <w:t xml:space="preserve">The COE is the document that is used to record all key information concerning a child’s </w:t>
      </w:r>
      <w:r w:rsidR="00532D3D">
        <w:br/>
        <w:t xml:space="preserve">           </w:t>
      </w:r>
      <w:r w:rsidRPr="00FD0824">
        <w:t>eligibility for the MEP.</w:t>
      </w:r>
    </w:p>
    <w:p w14:paraId="1DB3D474" w14:textId="77777777" w:rsidR="00351DF6" w:rsidRPr="00FD0824" w:rsidRDefault="00351DF6" w:rsidP="00383EE3">
      <w:pPr>
        <w:pStyle w:val="ListParagraph"/>
        <w:spacing w:before="240"/>
      </w:pPr>
    </w:p>
    <w:p w14:paraId="16EA30FF" w14:textId="02815892" w:rsidR="00F521EC" w:rsidRDefault="00F521EC" w:rsidP="00383EE3">
      <w:pPr>
        <w:pStyle w:val="ListParagraph"/>
        <w:numPr>
          <w:ilvl w:val="0"/>
          <w:numId w:val="22"/>
        </w:numPr>
        <w:spacing w:before="240"/>
      </w:pPr>
      <w:r>
        <w:t xml:space="preserve">_____In many </w:t>
      </w:r>
      <w:r w:rsidR="00AA0F4E">
        <w:t>ways,</w:t>
      </w:r>
      <w:r w:rsidRPr="00FD0824">
        <w:t xml:space="preserve"> the COE is the most important document generated by the MEP.</w:t>
      </w:r>
    </w:p>
    <w:p w14:paraId="31666BB9" w14:textId="77777777" w:rsidR="00F521EC" w:rsidRPr="00FD0824" w:rsidRDefault="00F521EC" w:rsidP="00383EE3">
      <w:pPr>
        <w:spacing w:before="240"/>
        <w:ind w:left="360"/>
      </w:pPr>
    </w:p>
    <w:p w14:paraId="413F5DD1" w14:textId="355265E1" w:rsidR="00F521EC" w:rsidRDefault="00F521EC" w:rsidP="00383EE3">
      <w:pPr>
        <w:pStyle w:val="ListParagraph"/>
        <w:numPr>
          <w:ilvl w:val="0"/>
          <w:numId w:val="22"/>
        </w:numPr>
        <w:tabs>
          <w:tab w:val="clear" w:pos="720"/>
          <w:tab w:val="left" w:pos="1260"/>
        </w:tabs>
        <w:spacing w:before="240"/>
      </w:pPr>
      <w:r>
        <w:t>_____</w:t>
      </w:r>
      <w:r w:rsidRPr="00FD0824">
        <w:t xml:space="preserve">In certain circumstances, states may </w:t>
      </w:r>
      <w:r w:rsidR="00BF7D69">
        <w:t xml:space="preserve">provide </w:t>
      </w:r>
      <w:r w:rsidRPr="00FD0824">
        <w:t xml:space="preserve">MEP services to a child </w:t>
      </w:r>
      <w:r>
        <w:t xml:space="preserve">before the COE has </w:t>
      </w:r>
      <w:r w:rsidRPr="00FD0824">
        <w:t>been completed.</w:t>
      </w:r>
    </w:p>
    <w:p w14:paraId="36FEEAF3" w14:textId="77777777" w:rsidR="00F521EC" w:rsidRPr="00FD0824" w:rsidRDefault="00F521EC" w:rsidP="00383EE3">
      <w:pPr>
        <w:spacing w:before="240"/>
        <w:ind w:left="360"/>
      </w:pPr>
    </w:p>
    <w:p w14:paraId="42EB3F16" w14:textId="7BA907D3" w:rsidR="00F521EC" w:rsidRDefault="00F521EC" w:rsidP="00383EE3">
      <w:pPr>
        <w:pStyle w:val="ListParagraph"/>
        <w:numPr>
          <w:ilvl w:val="0"/>
          <w:numId w:val="22"/>
        </w:numPr>
        <w:spacing w:before="240"/>
      </w:pPr>
      <w:r>
        <w:t>_____</w:t>
      </w:r>
      <w:r w:rsidRPr="00FD0824">
        <w:t xml:space="preserve">The </w:t>
      </w:r>
      <w:r w:rsidR="00744B54">
        <w:t>S</w:t>
      </w:r>
      <w:r w:rsidR="005A0931">
        <w:t>tate</w:t>
      </w:r>
      <w:r w:rsidRPr="00FD0824">
        <w:t xml:space="preserve"> often uses COE data to determine the number of </w:t>
      </w:r>
      <w:r w:rsidR="0035370D">
        <w:t>migratory</w:t>
      </w:r>
      <w:r>
        <w:t xml:space="preserve"> children who live in the </w:t>
      </w:r>
      <w:r w:rsidR="0002395F">
        <w:t>s</w:t>
      </w:r>
      <w:r w:rsidR="005A0931">
        <w:t>tate</w:t>
      </w:r>
      <w:r w:rsidRPr="00FD0824">
        <w:t xml:space="preserve"> each year.</w:t>
      </w:r>
    </w:p>
    <w:p w14:paraId="55E018DD" w14:textId="77777777" w:rsidR="00ED34CC" w:rsidRPr="00FD0824" w:rsidRDefault="00ED34CC" w:rsidP="00383EE3">
      <w:pPr>
        <w:pStyle w:val="ListParagraph"/>
        <w:spacing w:before="240"/>
      </w:pPr>
    </w:p>
    <w:p w14:paraId="1126C961" w14:textId="318D784C" w:rsidR="00F521EC" w:rsidRPr="002F3DED" w:rsidRDefault="00F521EC" w:rsidP="00383EE3">
      <w:pPr>
        <w:pStyle w:val="ListParagraph"/>
        <w:numPr>
          <w:ilvl w:val="0"/>
          <w:numId w:val="22"/>
        </w:numPr>
        <w:spacing w:before="240"/>
      </w:pPr>
      <w:r>
        <w:t>_____</w:t>
      </w:r>
      <w:r w:rsidRPr="00FD0824">
        <w:t>The COE is used to enroll eligible children in</w:t>
      </w:r>
      <w:r w:rsidR="00171629">
        <w:t xml:space="preserve"> the </w:t>
      </w:r>
      <w:r w:rsidR="0002395F">
        <w:t>s</w:t>
      </w:r>
      <w:r w:rsidR="005A0931">
        <w:t>tate</w:t>
      </w:r>
      <w:r w:rsidR="00171629">
        <w:t xml:space="preserve"> migratory</w:t>
      </w:r>
      <w:r>
        <w:t xml:space="preserve"> student database which is accessed</w:t>
      </w:r>
      <w:r w:rsidR="00CF6624">
        <w:t xml:space="preserve"> </w:t>
      </w:r>
      <w:r w:rsidRPr="00FD0824">
        <w:t xml:space="preserve">by authorized educators as </w:t>
      </w:r>
      <w:r w:rsidR="0002395F">
        <w:t xml:space="preserve">children </w:t>
      </w:r>
      <w:r w:rsidRPr="00FD0824">
        <w:t>move wit</w:t>
      </w:r>
      <w:r>
        <w:t>h</w:t>
      </w:r>
      <w:r w:rsidRPr="00FD0824">
        <w:t xml:space="preserve"> </w:t>
      </w:r>
      <w:r w:rsidR="0002395F">
        <w:t xml:space="preserve">their </w:t>
      </w:r>
      <w:r w:rsidRPr="00FD0824">
        <w:t>famil</w:t>
      </w:r>
      <w:r w:rsidR="0002395F">
        <w:t>ies</w:t>
      </w:r>
      <w:r w:rsidRPr="00FD0824">
        <w:t>.</w:t>
      </w:r>
    </w:p>
    <w:p w14:paraId="180841B7" w14:textId="77777777" w:rsidR="0014279E" w:rsidRDefault="0014279E" w:rsidP="001B6F0F"/>
    <w:p w14:paraId="0FCDDB28" w14:textId="77777777" w:rsidR="0014279E" w:rsidRDefault="0014279E" w:rsidP="00383EE3">
      <w:pPr>
        <w:ind w:firstLine="360"/>
      </w:pPr>
      <w:r>
        <w:t>Explaining the Purpose of the COE:</w:t>
      </w:r>
    </w:p>
    <w:p w14:paraId="675D408E" w14:textId="77777777" w:rsidR="0014279E" w:rsidRDefault="0014279E" w:rsidP="0014279E">
      <w:pPr>
        <w:ind w:left="360" w:right="245"/>
      </w:pPr>
      <w:r>
        <w:t>_________________________________________________________________________________</w:t>
      </w:r>
    </w:p>
    <w:p w14:paraId="7F827C2C" w14:textId="77777777" w:rsidR="0014279E" w:rsidRDefault="0014279E" w:rsidP="0014279E">
      <w:pPr>
        <w:ind w:left="360" w:right="245"/>
      </w:pPr>
      <w:r w:rsidRPr="00226E96">
        <w:t>_________________________________________________________</w:t>
      </w:r>
      <w:r>
        <w:t>________________________</w:t>
      </w:r>
    </w:p>
    <w:p w14:paraId="4BE2961A" w14:textId="77777777" w:rsidR="0014279E" w:rsidRDefault="0014279E" w:rsidP="0014279E">
      <w:pPr>
        <w:ind w:left="360"/>
      </w:pPr>
      <w:r w:rsidRPr="00226E96">
        <w:t>_________________________________________________________</w:t>
      </w:r>
      <w:r>
        <w:t>________________________</w:t>
      </w:r>
    </w:p>
    <w:p w14:paraId="4EA52F7F" w14:textId="77777777" w:rsidR="00462054" w:rsidRDefault="00462054" w:rsidP="0014279E">
      <w:pPr>
        <w:ind w:left="360"/>
      </w:pPr>
    </w:p>
    <w:p w14:paraId="6BA0BF2D" w14:textId="10D310EB" w:rsidR="002209C4" w:rsidRDefault="002209C4" w:rsidP="00383EE3">
      <w:pPr>
        <w:pStyle w:val="Heading3"/>
        <w:sectPr w:rsidR="002209C4" w:rsidSect="009E7A7B">
          <w:headerReference w:type="default" r:id="rId11"/>
          <w:footerReference w:type="default" r:id="rId12"/>
          <w:pgSz w:w="12240" w:h="15840"/>
          <w:pgMar w:top="1440" w:right="1152" w:bottom="1152" w:left="1152" w:header="720" w:footer="576" w:gutter="0"/>
          <w:cols w:space="720"/>
          <w:docGrid w:linePitch="360"/>
        </w:sectPr>
      </w:pPr>
    </w:p>
    <w:p w14:paraId="321C02FD" w14:textId="77777777" w:rsidR="00462054" w:rsidRDefault="00462054" w:rsidP="00383EE3">
      <w:pPr>
        <w:pStyle w:val="Heading3"/>
      </w:pPr>
      <w:bookmarkStart w:id="0" w:name="_GoBack"/>
      <w:bookmarkEnd w:id="0"/>
      <w:r>
        <w:lastRenderedPageBreak/>
        <w:t>Basic Guidelines for Completing the COE</w:t>
      </w:r>
    </w:p>
    <w:p w14:paraId="77AB744E" w14:textId="77777777" w:rsidR="00462054" w:rsidRPr="00FD0824" w:rsidRDefault="00462054" w:rsidP="00383EE3">
      <w:pPr>
        <w:pStyle w:val="ListParagraph"/>
        <w:numPr>
          <w:ilvl w:val="0"/>
          <w:numId w:val="33"/>
        </w:numPr>
      </w:pPr>
      <w:r w:rsidRPr="00FD0824">
        <w:t>Obtain information for the COE by conducting a personal interview with the family.</w:t>
      </w:r>
    </w:p>
    <w:p w14:paraId="0799D0B8" w14:textId="77777777" w:rsidR="00462054" w:rsidRPr="00FD0824" w:rsidRDefault="00462054" w:rsidP="00383EE3">
      <w:pPr>
        <w:pStyle w:val="ListParagraph"/>
        <w:numPr>
          <w:ilvl w:val="0"/>
          <w:numId w:val="33"/>
        </w:numPr>
      </w:pPr>
      <w:r w:rsidRPr="00FD0824">
        <w:t>Collect supporting documentation, if needed.</w:t>
      </w:r>
    </w:p>
    <w:p w14:paraId="32E8EA67" w14:textId="77777777" w:rsidR="00462054" w:rsidRDefault="00462054" w:rsidP="00383EE3">
      <w:pPr>
        <w:pStyle w:val="ListParagraph"/>
        <w:numPr>
          <w:ilvl w:val="0"/>
          <w:numId w:val="33"/>
        </w:numPr>
      </w:pPr>
      <w:r w:rsidRPr="00FD0824">
        <w:t>Record only data from credible sources.</w:t>
      </w:r>
    </w:p>
    <w:p w14:paraId="2C7536CE" w14:textId="77777777" w:rsidR="00462054" w:rsidRDefault="00462054" w:rsidP="00383EE3">
      <w:pPr>
        <w:pStyle w:val="ListParagraph"/>
        <w:numPr>
          <w:ilvl w:val="0"/>
          <w:numId w:val="33"/>
        </w:numPr>
      </w:pPr>
      <w:r>
        <w:t>Only trained (and in some states, certified) recruiters are authorized to complete the COE.</w:t>
      </w:r>
    </w:p>
    <w:p w14:paraId="27C437F5" w14:textId="1CCCB591" w:rsidR="00462054" w:rsidRDefault="007F422E" w:rsidP="00383EE3">
      <w:pPr>
        <w:pStyle w:val="ListParagraph"/>
        <w:numPr>
          <w:ilvl w:val="0"/>
          <w:numId w:val="33"/>
        </w:numPr>
      </w:pPr>
      <w:r>
        <w:t>C</w:t>
      </w:r>
      <w:r w:rsidR="00462054">
        <w:t>omplete</w:t>
      </w:r>
      <w:r w:rsidR="00F25FD4">
        <w:t>d</w:t>
      </w:r>
      <w:r w:rsidR="00462054">
        <w:t xml:space="preserve"> legibly in blue ink to show that it is an original document, not a photocopy.</w:t>
      </w:r>
    </w:p>
    <w:p w14:paraId="2DA3718B" w14:textId="77777777" w:rsidR="00462054" w:rsidRDefault="00462054" w:rsidP="00462054">
      <w:pPr>
        <w:ind w:left="360" w:right="245"/>
      </w:pPr>
      <w:r>
        <w:t>_________________________________________________________________________________</w:t>
      </w:r>
    </w:p>
    <w:p w14:paraId="7247BC88" w14:textId="77777777" w:rsidR="00462054" w:rsidRDefault="00462054" w:rsidP="00462054">
      <w:pPr>
        <w:ind w:left="360" w:right="245"/>
      </w:pPr>
      <w:r w:rsidRPr="00226E96">
        <w:t>_________________________________________________________</w:t>
      </w:r>
      <w:r>
        <w:t>________________________</w:t>
      </w:r>
    </w:p>
    <w:p w14:paraId="4518A1D8" w14:textId="77777777" w:rsidR="00462054" w:rsidRDefault="00462054" w:rsidP="00462054">
      <w:pPr>
        <w:ind w:left="360"/>
      </w:pPr>
      <w:r w:rsidRPr="00226E96">
        <w:t>_________________________________________________________</w:t>
      </w:r>
      <w:r>
        <w:t>________________________</w:t>
      </w:r>
    </w:p>
    <w:p w14:paraId="5D05BFA5" w14:textId="77777777" w:rsidR="00351DF6" w:rsidRDefault="00351DF6" w:rsidP="00351DF6">
      <w:pPr>
        <w:ind w:left="360" w:right="245"/>
      </w:pPr>
      <w:r>
        <w:t>_________________________________________________________________________________</w:t>
      </w:r>
    </w:p>
    <w:p w14:paraId="40961786" w14:textId="77777777" w:rsidR="00351DF6" w:rsidRDefault="00351DF6" w:rsidP="00462054">
      <w:pPr>
        <w:sectPr w:rsidR="00351DF6" w:rsidSect="009E7A7B">
          <w:pgSz w:w="12240" w:h="15840"/>
          <w:pgMar w:top="1440" w:right="1152" w:bottom="1152" w:left="1152" w:header="720" w:footer="576" w:gutter="0"/>
          <w:cols w:space="720"/>
          <w:docGrid w:linePitch="360"/>
        </w:sectPr>
      </w:pPr>
    </w:p>
    <w:tbl>
      <w:tblPr>
        <w:tblStyle w:val="MediumList2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Components of the COE&#10;"/>
      </w:tblPr>
      <w:tblGrid>
        <w:gridCol w:w="9937"/>
      </w:tblGrid>
      <w:tr w:rsidR="00532D3D" w:rsidRPr="00010437" w14:paraId="082FBA21" w14:textId="77777777" w:rsidTr="00AC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065" w:themeFill="accent5"/>
          </w:tcPr>
          <w:p w14:paraId="59114FD0" w14:textId="77777777" w:rsidR="00532D3D" w:rsidRPr="00736674" w:rsidRDefault="00532D3D" w:rsidP="00C76383">
            <w:pPr>
              <w:pStyle w:val="Heading2"/>
              <w:outlineLvl w:val="1"/>
            </w:pPr>
            <w:r w:rsidRPr="00736674">
              <w:lastRenderedPageBreak/>
              <w:t>Components of the COE</w:t>
            </w:r>
          </w:p>
        </w:tc>
      </w:tr>
      <w:tr w:rsidR="00144AA3" w:rsidRPr="00010437" w14:paraId="7E9CE43A" w14:textId="77777777" w:rsidTr="00B1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D0862F" w14:textId="77777777" w:rsidR="00CE2662" w:rsidRDefault="00CE2662" w:rsidP="00C22316">
            <w:pPr>
              <w:spacing w:line="276" w:lineRule="auto"/>
              <w:ind w:right="-115"/>
            </w:pPr>
          </w:p>
          <w:p w14:paraId="75CB6864" w14:textId="77777777" w:rsidR="00F00542" w:rsidRDefault="00F00542" w:rsidP="00C22316">
            <w:pPr>
              <w:spacing w:line="276" w:lineRule="auto"/>
              <w:ind w:right="-115"/>
            </w:pPr>
          </w:p>
          <w:p w14:paraId="264E3CF5" w14:textId="77777777" w:rsidR="00F00542" w:rsidRDefault="00F00542" w:rsidP="00C22316">
            <w:pPr>
              <w:spacing w:line="276" w:lineRule="auto"/>
              <w:ind w:right="-115"/>
            </w:pPr>
          </w:p>
          <w:p w14:paraId="3EDD1FD7" w14:textId="77777777" w:rsidR="00F00542" w:rsidRDefault="00F00542" w:rsidP="00C22316">
            <w:pPr>
              <w:spacing w:line="276" w:lineRule="auto"/>
              <w:ind w:right="-115"/>
            </w:pPr>
          </w:p>
          <w:p w14:paraId="195ADBE5" w14:textId="77777777" w:rsidR="00F00542" w:rsidRDefault="00F00542" w:rsidP="00C22316">
            <w:pPr>
              <w:spacing w:line="276" w:lineRule="auto"/>
              <w:ind w:right="-115"/>
            </w:pPr>
          </w:p>
          <w:p w14:paraId="01C06C6C" w14:textId="77777777" w:rsidR="00F00542" w:rsidRDefault="00F00542" w:rsidP="00C22316">
            <w:pPr>
              <w:spacing w:line="276" w:lineRule="auto"/>
              <w:ind w:right="-115"/>
            </w:pPr>
          </w:p>
          <w:p w14:paraId="7ED45F10" w14:textId="77777777" w:rsidR="00F00542" w:rsidRDefault="00F00542" w:rsidP="00C22316">
            <w:pPr>
              <w:spacing w:line="276" w:lineRule="auto"/>
              <w:ind w:right="-115"/>
            </w:pPr>
          </w:p>
          <w:p w14:paraId="2DD9E4E3" w14:textId="77777777" w:rsidR="00F00542" w:rsidRDefault="00F00542" w:rsidP="00C22316">
            <w:pPr>
              <w:spacing w:line="276" w:lineRule="auto"/>
              <w:ind w:right="-115"/>
            </w:pPr>
          </w:p>
          <w:p w14:paraId="6C2245C1" w14:textId="77777777" w:rsidR="00F00542" w:rsidRDefault="00F00542" w:rsidP="00C22316">
            <w:pPr>
              <w:spacing w:line="276" w:lineRule="auto"/>
              <w:ind w:right="-115"/>
            </w:pPr>
          </w:p>
          <w:p w14:paraId="6A4A2DB7" w14:textId="77777777" w:rsidR="00F00542" w:rsidRDefault="00F00542" w:rsidP="00C22316">
            <w:pPr>
              <w:spacing w:line="276" w:lineRule="auto"/>
              <w:ind w:right="-115"/>
            </w:pPr>
          </w:p>
          <w:p w14:paraId="3F00B1AF" w14:textId="77777777" w:rsidR="00F00542" w:rsidRDefault="00F00542" w:rsidP="00C22316">
            <w:pPr>
              <w:spacing w:line="276" w:lineRule="auto"/>
              <w:ind w:right="-115"/>
            </w:pPr>
          </w:p>
          <w:p w14:paraId="67E9F640" w14:textId="77777777" w:rsidR="00F00542" w:rsidRDefault="00F00542" w:rsidP="00C22316">
            <w:pPr>
              <w:spacing w:line="276" w:lineRule="auto"/>
              <w:ind w:right="-115"/>
            </w:pPr>
          </w:p>
          <w:p w14:paraId="53D67CF3" w14:textId="77777777" w:rsidR="00F00542" w:rsidRDefault="00F00542" w:rsidP="00C22316">
            <w:pPr>
              <w:spacing w:line="276" w:lineRule="auto"/>
              <w:ind w:right="-115"/>
            </w:pPr>
          </w:p>
          <w:p w14:paraId="58088D6A" w14:textId="77777777" w:rsidR="00F00542" w:rsidRDefault="00F00542" w:rsidP="00C22316">
            <w:pPr>
              <w:spacing w:line="276" w:lineRule="auto"/>
              <w:ind w:right="-115"/>
            </w:pPr>
          </w:p>
          <w:p w14:paraId="1B088244" w14:textId="77777777" w:rsidR="00F00542" w:rsidRDefault="00F00542" w:rsidP="00C22316">
            <w:pPr>
              <w:spacing w:line="276" w:lineRule="auto"/>
              <w:ind w:right="-115"/>
            </w:pPr>
          </w:p>
          <w:p w14:paraId="3EDAEDC8" w14:textId="77777777" w:rsidR="00F00542" w:rsidRDefault="00F00542" w:rsidP="00C22316">
            <w:pPr>
              <w:spacing w:line="276" w:lineRule="auto"/>
              <w:ind w:right="-115"/>
            </w:pPr>
          </w:p>
          <w:p w14:paraId="267D93F2" w14:textId="77777777" w:rsidR="00F00542" w:rsidRDefault="00F00542" w:rsidP="00C22316">
            <w:pPr>
              <w:spacing w:line="276" w:lineRule="auto"/>
              <w:ind w:right="-115"/>
            </w:pPr>
          </w:p>
          <w:p w14:paraId="63D27245" w14:textId="77777777" w:rsidR="00F00542" w:rsidRDefault="00F00542" w:rsidP="00C22316">
            <w:pPr>
              <w:spacing w:line="276" w:lineRule="auto"/>
              <w:ind w:right="-115"/>
            </w:pPr>
          </w:p>
          <w:p w14:paraId="53D313DC" w14:textId="77777777" w:rsidR="00F00542" w:rsidRDefault="00F00542" w:rsidP="00C22316">
            <w:pPr>
              <w:spacing w:line="276" w:lineRule="auto"/>
              <w:ind w:right="-115"/>
            </w:pPr>
          </w:p>
          <w:p w14:paraId="59485D48" w14:textId="77777777" w:rsidR="00F00542" w:rsidRDefault="00F00542" w:rsidP="00C22316">
            <w:pPr>
              <w:spacing w:line="276" w:lineRule="auto"/>
              <w:ind w:right="-115"/>
            </w:pPr>
          </w:p>
          <w:p w14:paraId="322603EB" w14:textId="77777777" w:rsidR="00F00542" w:rsidRDefault="00F00542" w:rsidP="00C22316">
            <w:pPr>
              <w:spacing w:line="276" w:lineRule="auto"/>
              <w:ind w:right="-115"/>
            </w:pPr>
          </w:p>
          <w:p w14:paraId="56E980FC" w14:textId="77777777" w:rsidR="00F00542" w:rsidRDefault="00F00542" w:rsidP="00C22316">
            <w:pPr>
              <w:spacing w:line="276" w:lineRule="auto"/>
              <w:ind w:right="-115"/>
            </w:pPr>
          </w:p>
          <w:p w14:paraId="0F2283FA" w14:textId="77777777" w:rsidR="00F00542" w:rsidRDefault="00F00542" w:rsidP="00C22316">
            <w:pPr>
              <w:spacing w:line="276" w:lineRule="auto"/>
              <w:ind w:right="-115"/>
            </w:pPr>
          </w:p>
          <w:p w14:paraId="4629A25F" w14:textId="77777777" w:rsidR="00F00542" w:rsidRDefault="00F00542" w:rsidP="00C22316">
            <w:pPr>
              <w:spacing w:line="276" w:lineRule="auto"/>
              <w:ind w:right="-115"/>
            </w:pPr>
          </w:p>
          <w:p w14:paraId="2A77A094" w14:textId="77777777" w:rsidR="00F00542" w:rsidRDefault="00F00542" w:rsidP="00C22316">
            <w:pPr>
              <w:spacing w:line="276" w:lineRule="auto"/>
              <w:ind w:right="-115"/>
            </w:pPr>
          </w:p>
          <w:p w14:paraId="7A1764E1" w14:textId="77777777" w:rsidR="00F00542" w:rsidRDefault="00F00542" w:rsidP="00C22316">
            <w:pPr>
              <w:spacing w:line="276" w:lineRule="auto"/>
              <w:ind w:right="-115"/>
            </w:pPr>
          </w:p>
          <w:p w14:paraId="2A04361E" w14:textId="0E47F890" w:rsidR="00F00542" w:rsidRPr="00C22316" w:rsidRDefault="00F00542" w:rsidP="00C22316">
            <w:pPr>
              <w:spacing w:line="276" w:lineRule="auto"/>
              <w:ind w:right="-115"/>
            </w:pPr>
          </w:p>
        </w:tc>
      </w:tr>
    </w:tbl>
    <w:p w14:paraId="63EC8246" w14:textId="77777777" w:rsidR="00805361" w:rsidRDefault="00805361" w:rsidP="002B021F">
      <w:pPr>
        <w:spacing w:after="0"/>
        <w:rPr>
          <w:rFonts w:ascii="Franklin Gothic Medium" w:hAnsi="Franklin Gothic Medium"/>
          <w:sz w:val="24"/>
          <w:szCs w:val="24"/>
        </w:rPr>
      </w:pPr>
    </w:p>
    <w:p w14:paraId="034EA55B" w14:textId="77777777" w:rsidR="00805361" w:rsidRDefault="00805361" w:rsidP="002B021F">
      <w:pPr>
        <w:spacing w:after="0"/>
        <w:rPr>
          <w:rFonts w:ascii="Franklin Gothic Medium" w:hAnsi="Franklin Gothic Medium"/>
          <w:sz w:val="24"/>
          <w:szCs w:val="24"/>
        </w:rPr>
      </w:pPr>
    </w:p>
    <w:p w14:paraId="7B2A3313" w14:textId="77777777" w:rsidR="00805361" w:rsidRDefault="00805361" w:rsidP="002B021F">
      <w:pPr>
        <w:spacing w:after="0"/>
        <w:rPr>
          <w:rFonts w:ascii="Franklin Gothic Medium" w:hAnsi="Franklin Gothic Medium"/>
          <w:sz w:val="24"/>
          <w:szCs w:val="24"/>
        </w:rPr>
      </w:pPr>
    </w:p>
    <w:p w14:paraId="1CF667C1" w14:textId="77777777" w:rsidR="00805361" w:rsidRDefault="00805361" w:rsidP="002B021F">
      <w:pPr>
        <w:spacing w:after="0"/>
        <w:rPr>
          <w:rFonts w:ascii="Franklin Gothic Medium" w:hAnsi="Franklin Gothic Medium"/>
          <w:sz w:val="24"/>
          <w:szCs w:val="24"/>
        </w:rPr>
      </w:pPr>
    </w:p>
    <w:p w14:paraId="7F42F1E1" w14:textId="77777777" w:rsidR="001B6F0F" w:rsidRDefault="001B6F0F" w:rsidP="00C2093E">
      <w:pPr>
        <w:spacing w:after="0"/>
      </w:pPr>
    </w:p>
    <w:p w14:paraId="4646337B" w14:textId="77777777" w:rsidR="00C2093E" w:rsidRPr="006617B7" w:rsidRDefault="00C2093E" w:rsidP="00C2093E">
      <w:p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COE Lessons Learned</w:t>
      </w:r>
    </w:p>
    <w:p w14:paraId="0E31E15C" w14:textId="014586F5" w:rsidR="00C2093E" w:rsidRPr="00777F0D" w:rsidRDefault="00025E35" w:rsidP="00C2093E">
      <w:pPr>
        <w:ind w:left="360"/>
        <w:rPr>
          <w:szCs w:val="22"/>
        </w:rPr>
      </w:pPr>
      <w:r>
        <w:rPr>
          <w:szCs w:val="22"/>
        </w:rPr>
        <w:br/>
      </w:r>
      <w:r w:rsidR="00C2093E" w:rsidRPr="00777F0D">
        <w:rPr>
          <w:szCs w:val="22"/>
        </w:rPr>
        <w:t xml:space="preserve">What does each statement mean? </w:t>
      </w:r>
    </w:p>
    <w:p w14:paraId="2A9F3A93" w14:textId="77777777" w:rsidR="00C2093E" w:rsidRDefault="00C2093E" w:rsidP="00C2093E">
      <w:pPr>
        <w:ind w:left="360" w:right="245"/>
      </w:pPr>
      <w:r>
        <w:t>_________________________________________________________________________________</w:t>
      </w:r>
    </w:p>
    <w:p w14:paraId="3996DD10" w14:textId="77777777" w:rsidR="00C2093E" w:rsidRDefault="00C2093E" w:rsidP="00C2093E">
      <w:pPr>
        <w:ind w:left="360" w:right="245"/>
      </w:pPr>
      <w:r w:rsidRPr="00226E96">
        <w:t>_________________________________________________________</w:t>
      </w:r>
      <w:r>
        <w:t>________________________</w:t>
      </w:r>
    </w:p>
    <w:p w14:paraId="6BAB8979" w14:textId="77777777" w:rsidR="00C2093E" w:rsidRPr="00777F0D" w:rsidRDefault="00C2093E" w:rsidP="00C2093E">
      <w:pPr>
        <w:spacing w:after="0"/>
        <w:ind w:left="360"/>
        <w:rPr>
          <w:szCs w:val="22"/>
        </w:rPr>
      </w:pPr>
    </w:p>
    <w:p w14:paraId="2EC5DEEB" w14:textId="77777777" w:rsidR="00C2093E" w:rsidRPr="00777F0D" w:rsidRDefault="00C2093E" w:rsidP="00C2093E">
      <w:pPr>
        <w:ind w:left="360"/>
        <w:rPr>
          <w:szCs w:val="22"/>
        </w:rPr>
      </w:pPr>
      <w:r w:rsidRPr="00777F0D">
        <w:rPr>
          <w:szCs w:val="22"/>
        </w:rPr>
        <w:t xml:space="preserve">What are the consequences of not following what is stated?  </w:t>
      </w:r>
    </w:p>
    <w:p w14:paraId="7805AFDD" w14:textId="77777777" w:rsidR="00C2093E" w:rsidRDefault="00C2093E" w:rsidP="00C2093E">
      <w:pPr>
        <w:ind w:left="360" w:right="245"/>
      </w:pPr>
      <w:r>
        <w:t>_________________________________________________________________________________</w:t>
      </w:r>
    </w:p>
    <w:p w14:paraId="0D38B0F7" w14:textId="77777777" w:rsidR="00C2093E" w:rsidRDefault="00C2093E" w:rsidP="00C2093E">
      <w:pPr>
        <w:ind w:left="360" w:right="245"/>
      </w:pPr>
      <w:r w:rsidRPr="00226E96">
        <w:t>_________________________________________________________</w:t>
      </w:r>
      <w:r>
        <w:t>________________________</w:t>
      </w:r>
    </w:p>
    <w:p w14:paraId="52E9BAFD" w14:textId="77777777" w:rsidR="00C2093E" w:rsidRDefault="00C2093E" w:rsidP="00C2093E">
      <w:pPr>
        <w:spacing w:after="0"/>
        <w:ind w:left="360"/>
        <w:rPr>
          <w:rFonts w:ascii="Franklin Gothic Medium" w:hAnsi="Franklin Gothic Medium"/>
          <w:szCs w:val="22"/>
        </w:rPr>
      </w:pPr>
    </w:p>
    <w:p w14:paraId="6BB74BC8" w14:textId="77777777" w:rsidR="00C2093E" w:rsidRPr="00C2093E" w:rsidRDefault="00C2093E" w:rsidP="00C2093E">
      <w:pPr>
        <w:ind w:left="360"/>
        <w:rPr>
          <w:szCs w:val="22"/>
        </w:rPr>
      </w:pPr>
      <w:r w:rsidRPr="00C2093E">
        <w:rPr>
          <w:szCs w:val="22"/>
        </w:rPr>
        <w:t>What are the benefits of doing what is stated?</w:t>
      </w:r>
    </w:p>
    <w:p w14:paraId="71E3299F" w14:textId="77777777" w:rsidR="00C2093E" w:rsidRDefault="00C2093E" w:rsidP="00C2093E">
      <w:pPr>
        <w:ind w:left="360" w:right="245"/>
      </w:pPr>
      <w:r>
        <w:t>_________________________________________________________________________________</w:t>
      </w:r>
    </w:p>
    <w:p w14:paraId="32C09D3E" w14:textId="77777777" w:rsidR="008B21B2" w:rsidRDefault="00C2093E" w:rsidP="00C2093E">
      <w:pPr>
        <w:ind w:left="360" w:right="245"/>
      </w:pPr>
      <w:r w:rsidRPr="00226E96">
        <w:t>_________________________________________________________</w:t>
      </w:r>
      <w:r>
        <w:t>________________________</w:t>
      </w:r>
      <w:r w:rsidR="002D316B">
        <w:t xml:space="preserve">  </w:t>
      </w:r>
    </w:p>
    <w:sectPr w:rsidR="008B21B2" w:rsidSect="009E7A7B"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289C" w14:textId="77777777" w:rsidR="003D3261" w:rsidRDefault="003D3261" w:rsidP="00A0373B">
      <w:r>
        <w:separator/>
      </w:r>
    </w:p>
  </w:endnote>
  <w:endnote w:type="continuationSeparator" w:id="0">
    <w:p w14:paraId="4E5E30AE" w14:textId="77777777" w:rsidR="003D3261" w:rsidRDefault="003D3261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65BB" w14:textId="23CC2685" w:rsidR="003D3C5E" w:rsidRPr="005F06C5" w:rsidRDefault="003D3C5E" w:rsidP="005F06C5">
    <w:pPr>
      <w:pStyle w:val="Footer"/>
      <w:tabs>
        <w:tab w:val="clear" w:pos="6570"/>
        <w:tab w:val="clear" w:pos="10620"/>
        <w:tab w:val="left" w:pos="9630"/>
      </w:tabs>
    </w:pPr>
    <w:r w:rsidRPr="005F06C5">
      <w:rPr>
        <w:rFonts w:cs="Arial"/>
      </w:rPr>
      <w:t xml:space="preserve">National </w:t>
    </w:r>
    <w:r w:rsidR="00F00542">
      <w:rPr>
        <w:rFonts w:cs="Arial"/>
      </w:rPr>
      <w:t>ID&amp;R</w:t>
    </w:r>
    <w:r w:rsidRPr="005F06C5">
      <w:rPr>
        <w:rFonts w:cs="Arial"/>
      </w:rPr>
      <w:t xml:space="preserve"> Curriculum</w:t>
    </w:r>
    <w:r>
      <w:rPr>
        <w:rFonts w:cs="Arial"/>
      </w:rPr>
      <w:t xml:space="preserve">, </w:t>
    </w:r>
    <w:r w:rsidR="00F00542">
      <w:rPr>
        <w:rFonts w:cs="Arial"/>
      </w:rPr>
      <w:t>Funded by the U.S. Department of Education, V</w:t>
    </w:r>
    <w:r>
      <w:rPr>
        <w:rFonts w:cs="Arial"/>
      </w:rPr>
      <w:t xml:space="preserve"> 3.0</w:t>
    </w:r>
    <w:r w:rsidRPr="005F06C5">
      <w:rPr>
        <w:rFonts w:cs="Arial"/>
      </w:rPr>
      <w:tab/>
    </w:r>
    <w:r w:rsidRPr="005F06C5">
      <w:rPr>
        <w:rFonts w:cs="Arial"/>
      </w:rPr>
      <w:fldChar w:fldCharType="begin"/>
    </w:r>
    <w:r w:rsidRPr="005F06C5">
      <w:rPr>
        <w:rFonts w:cs="Arial"/>
      </w:rPr>
      <w:instrText xml:space="preserve"> PAGE   \* MERGEFORMAT </w:instrText>
    </w:r>
    <w:r w:rsidRPr="005F06C5">
      <w:rPr>
        <w:rFonts w:cs="Arial"/>
      </w:rPr>
      <w:fldChar w:fldCharType="separate"/>
    </w:r>
    <w:r w:rsidR="00AC5527">
      <w:rPr>
        <w:rFonts w:cs="Arial"/>
        <w:noProof/>
      </w:rPr>
      <w:t>4</w:t>
    </w:r>
    <w:r w:rsidRPr="005F06C5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0FFA" w14:textId="77777777" w:rsidR="003D3261" w:rsidRDefault="003D3261" w:rsidP="00A0373B">
      <w:r>
        <w:separator/>
      </w:r>
    </w:p>
  </w:footnote>
  <w:footnote w:type="continuationSeparator" w:id="0">
    <w:p w14:paraId="4DF3B185" w14:textId="77777777" w:rsidR="003D3261" w:rsidRDefault="003D3261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C5AC" w14:textId="07E4FEEC" w:rsidR="003D3C5E" w:rsidRPr="00E13938" w:rsidRDefault="003D3C5E" w:rsidP="00B12F80">
    <w:pPr>
      <w:pStyle w:val="Footer"/>
      <w:pBdr>
        <w:bottom w:val="single" w:sz="4" w:space="1" w:color="D0CECE" w:themeColor="background2" w:themeShade="E6"/>
      </w:pBdr>
      <w:tabs>
        <w:tab w:val="clear" w:pos="4680"/>
        <w:tab w:val="clear" w:pos="6570"/>
        <w:tab w:val="clear" w:pos="10620"/>
        <w:tab w:val="left" w:pos="8460"/>
        <w:tab w:val="right" w:pos="9907"/>
      </w:tabs>
      <w:ind w:right="36"/>
      <w:rPr>
        <w:rFonts w:cs="Arial"/>
      </w:rPr>
    </w:pPr>
    <w:r w:rsidRPr="005F06C5">
      <w:rPr>
        <w:rFonts w:cs="Arial"/>
      </w:rPr>
      <w:t>Outline</w:t>
    </w:r>
    <w:r w:rsidRPr="005F06C5">
      <w:rPr>
        <w:rFonts w:cs="Arial"/>
      </w:rPr>
      <w:tab/>
    </w:r>
    <w:r w:rsidR="00E13938">
      <w:rPr>
        <w:rFonts w:cs="Arial"/>
      </w:rPr>
      <w:tab/>
    </w:r>
    <w:r w:rsidRPr="005F06C5">
      <w:rPr>
        <w:rFonts w:cs="Arial"/>
      </w:rPr>
      <w:t xml:space="preserve">Module </w:t>
    </w:r>
    <w:r>
      <w:rPr>
        <w:rFonts w:cs="Arial"/>
      </w:rPr>
      <w:t>8</w:t>
    </w:r>
    <w:r w:rsidRPr="005F06C5">
      <w:rPr>
        <w:rFonts w:cs="Arial"/>
      </w:rPr>
      <w:t xml:space="preserve"> Level </w:t>
    </w:r>
    <w:r>
      <w:rPr>
        <w:rFonts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66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6C81"/>
    <w:multiLevelType w:val="hybridMultilevel"/>
    <w:tmpl w:val="C682F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F70262"/>
    <w:multiLevelType w:val="hybridMultilevel"/>
    <w:tmpl w:val="0BDAFBC6"/>
    <w:lvl w:ilvl="0" w:tplc="76C023B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7EA"/>
    <w:multiLevelType w:val="hybridMultilevel"/>
    <w:tmpl w:val="472A6AFC"/>
    <w:lvl w:ilvl="0" w:tplc="F3E2EAE6">
      <w:numFmt w:val="bullet"/>
      <w:lvlText w:val="•"/>
      <w:lvlJc w:val="left"/>
      <w:pPr>
        <w:ind w:left="36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A21A5"/>
    <w:multiLevelType w:val="hybridMultilevel"/>
    <w:tmpl w:val="FF4E0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2128E"/>
    <w:multiLevelType w:val="hybridMultilevel"/>
    <w:tmpl w:val="0E12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17A1A"/>
    <w:multiLevelType w:val="hybridMultilevel"/>
    <w:tmpl w:val="223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C2F"/>
    <w:multiLevelType w:val="hybridMultilevel"/>
    <w:tmpl w:val="FB70B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5113C"/>
    <w:multiLevelType w:val="hybridMultilevel"/>
    <w:tmpl w:val="7A2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320F"/>
    <w:multiLevelType w:val="hybridMultilevel"/>
    <w:tmpl w:val="07E09CCC"/>
    <w:lvl w:ilvl="0" w:tplc="AF7009C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2E4D7D80"/>
    <w:multiLevelType w:val="hybridMultilevel"/>
    <w:tmpl w:val="EF90F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D47C7"/>
    <w:multiLevelType w:val="hybridMultilevel"/>
    <w:tmpl w:val="D0C6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50CC1"/>
    <w:multiLevelType w:val="hybridMultilevel"/>
    <w:tmpl w:val="8A6A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212"/>
    <w:multiLevelType w:val="hybridMultilevel"/>
    <w:tmpl w:val="07C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448B"/>
    <w:multiLevelType w:val="hybridMultilevel"/>
    <w:tmpl w:val="7AE2C148"/>
    <w:lvl w:ilvl="0" w:tplc="5BDC6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C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6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A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6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0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6E2619"/>
    <w:multiLevelType w:val="hybridMultilevel"/>
    <w:tmpl w:val="CB3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47B"/>
    <w:multiLevelType w:val="hybridMultilevel"/>
    <w:tmpl w:val="6EF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3F9C"/>
    <w:multiLevelType w:val="hybridMultilevel"/>
    <w:tmpl w:val="0010A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36020"/>
    <w:multiLevelType w:val="hybridMultilevel"/>
    <w:tmpl w:val="DB3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2CD"/>
    <w:multiLevelType w:val="hybridMultilevel"/>
    <w:tmpl w:val="C4C410BC"/>
    <w:lvl w:ilvl="0" w:tplc="410C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6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CC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E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5836A2"/>
    <w:multiLevelType w:val="hybridMultilevel"/>
    <w:tmpl w:val="3C8A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0884"/>
    <w:multiLevelType w:val="hybridMultilevel"/>
    <w:tmpl w:val="A3F4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6604"/>
    <w:multiLevelType w:val="hybridMultilevel"/>
    <w:tmpl w:val="33D2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329D"/>
    <w:multiLevelType w:val="hybridMultilevel"/>
    <w:tmpl w:val="CC2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8559E"/>
    <w:multiLevelType w:val="hybridMultilevel"/>
    <w:tmpl w:val="B0D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26155"/>
    <w:multiLevelType w:val="hybridMultilevel"/>
    <w:tmpl w:val="78B6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B86"/>
    <w:multiLevelType w:val="hybridMultilevel"/>
    <w:tmpl w:val="3ED6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84221"/>
    <w:multiLevelType w:val="hybridMultilevel"/>
    <w:tmpl w:val="584E0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544F0"/>
    <w:multiLevelType w:val="hybridMultilevel"/>
    <w:tmpl w:val="1E04F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031E0"/>
    <w:multiLevelType w:val="hybridMultilevel"/>
    <w:tmpl w:val="5C0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9D8"/>
    <w:multiLevelType w:val="hybridMultilevel"/>
    <w:tmpl w:val="D17E64D4"/>
    <w:lvl w:ilvl="0" w:tplc="F3E2EAE6">
      <w:numFmt w:val="bullet"/>
      <w:lvlText w:val="•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73777"/>
    <w:multiLevelType w:val="hybridMultilevel"/>
    <w:tmpl w:val="2FB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E4EAB"/>
    <w:multiLevelType w:val="hybridMultilevel"/>
    <w:tmpl w:val="873EEF9E"/>
    <w:lvl w:ilvl="0" w:tplc="3F46D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4"/>
  </w:num>
  <w:num w:numId="5">
    <w:abstractNumId w:val="16"/>
  </w:num>
  <w:num w:numId="6">
    <w:abstractNumId w:val="3"/>
  </w:num>
  <w:num w:numId="7">
    <w:abstractNumId w:val="30"/>
  </w:num>
  <w:num w:numId="8">
    <w:abstractNumId w:val="1"/>
  </w:num>
  <w:num w:numId="9">
    <w:abstractNumId w:val="6"/>
  </w:num>
  <w:num w:numId="10">
    <w:abstractNumId w:val="26"/>
  </w:num>
  <w:num w:numId="11">
    <w:abstractNumId w:val="31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4"/>
  </w:num>
  <w:num w:numId="18">
    <w:abstractNumId w:val="28"/>
  </w:num>
  <w:num w:numId="19">
    <w:abstractNumId w:val="13"/>
  </w:num>
  <w:num w:numId="20">
    <w:abstractNumId w:val="9"/>
  </w:num>
  <w:num w:numId="21">
    <w:abstractNumId w:val="19"/>
  </w:num>
  <w:num w:numId="22">
    <w:abstractNumId w:val="22"/>
  </w:num>
  <w:num w:numId="23">
    <w:abstractNumId w:val="14"/>
  </w:num>
  <w:num w:numId="24">
    <w:abstractNumId w:val="29"/>
  </w:num>
  <w:num w:numId="25">
    <w:abstractNumId w:val="18"/>
  </w:num>
  <w:num w:numId="26">
    <w:abstractNumId w:val="25"/>
  </w:num>
  <w:num w:numId="27">
    <w:abstractNumId w:val="2"/>
  </w:num>
  <w:num w:numId="28">
    <w:abstractNumId w:val="0"/>
  </w:num>
  <w:num w:numId="29">
    <w:abstractNumId w:val="23"/>
  </w:num>
  <w:num w:numId="30">
    <w:abstractNumId w:val="27"/>
  </w:num>
  <w:num w:numId="31">
    <w:abstractNumId w:val="21"/>
  </w:num>
  <w:num w:numId="32">
    <w:abstractNumId w:val="15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67F"/>
    <w:rsid w:val="00006502"/>
    <w:rsid w:val="00010437"/>
    <w:rsid w:val="00017F34"/>
    <w:rsid w:val="0002395F"/>
    <w:rsid w:val="00025E35"/>
    <w:rsid w:val="00040136"/>
    <w:rsid w:val="00040EB5"/>
    <w:rsid w:val="00042816"/>
    <w:rsid w:val="00045C78"/>
    <w:rsid w:val="00080F05"/>
    <w:rsid w:val="00081308"/>
    <w:rsid w:val="00097878"/>
    <w:rsid w:val="000A3999"/>
    <w:rsid w:val="000C55FB"/>
    <w:rsid w:val="000F2809"/>
    <w:rsid w:val="00131DF3"/>
    <w:rsid w:val="0014279E"/>
    <w:rsid w:val="00144AA3"/>
    <w:rsid w:val="001508F9"/>
    <w:rsid w:val="00171629"/>
    <w:rsid w:val="001763F9"/>
    <w:rsid w:val="0018471B"/>
    <w:rsid w:val="001A7DEE"/>
    <w:rsid w:val="001B6F0F"/>
    <w:rsid w:val="001D3E2E"/>
    <w:rsid w:val="00207B24"/>
    <w:rsid w:val="00211C6C"/>
    <w:rsid w:val="002209C4"/>
    <w:rsid w:val="00227FC5"/>
    <w:rsid w:val="002346DA"/>
    <w:rsid w:val="00255665"/>
    <w:rsid w:val="002578EF"/>
    <w:rsid w:val="00270312"/>
    <w:rsid w:val="00287555"/>
    <w:rsid w:val="002A5878"/>
    <w:rsid w:val="002A789B"/>
    <w:rsid w:val="002B021F"/>
    <w:rsid w:val="002B7865"/>
    <w:rsid w:val="002C1790"/>
    <w:rsid w:val="002D316B"/>
    <w:rsid w:val="002D6109"/>
    <w:rsid w:val="00303449"/>
    <w:rsid w:val="00305826"/>
    <w:rsid w:val="00312E98"/>
    <w:rsid w:val="0032462C"/>
    <w:rsid w:val="00330496"/>
    <w:rsid w:val="00351DF6"/>
    <w:rsid w:val="0035370D"/>
    <w:rsid w:val="00362D73"/>
    <w:rsid w:val="003650DE"/>
    <w:rsid w:val="003675C4"/>
    <w:rsid w:val="00383EE3"/>
    <w:rsid w:val="003A2E92"/>
    <w:rsid w:val="003B5785"/>
    <w:rsid w:val="003D3261"/>
    <w:rsid w:val="003D3C5E"/>
    <w:rsid w:val="003D4114"/>
    <w:rsid w:val="003F5789"/>
    <w:rsid w:val="00424CE5"/>
    <w:rsid w:val="00440896"/>
    <w:rsid w:val="004542C0"/>
    <w:rsid w:val="00455804"/>
    <w:rsid w:val="00462054"/>
    <w:rsid w:val="004730AF"/>
    <w:rsid w:val="004A443B"/>
    <w:rsid w:val="004F231B"/>
    <w:rsid w:val="00532D3D"/>
    <w:rsid w:val="005471BC"/>
    <w:rsid w:val="00551B18"/>
    <w:rsid w:val="00560133"/>
    <w:rsid w:val="005622E9"/>
    <w:rsid w:val="00565262"/>
    <w:rsid w:val="00570177"/>
    <w:rsid w:val="00575CF9"/>
    <w:rsid w:val="00585E2D"/>
    <w:rsid w:val="005937CE"/>
    <w:rsid w:val="005A0931"/>
    <w:rsid w:val="005E37EB"/>
    <w:rsid w:val="005E4F9A"/>
    <w:rsid w:val="005F06C5"/>
    <w:rsid w:val="006036EB"/>
    <w:rsid w:val="00611EE6"/>
    <w:rsid w:val="00653134"/>
    <w:rsid w:val="0066552B"/>
    <w:rsid w:val="00672BB5"/>
    <w:rsid w:val="00677CCD"/>
    <w:rsid w:val="006A0395"/>
    <w:rsid w:val="006B329D"/>
    <w:rsid w:val="006C11F7"/>
    <w:rsid w:val="006D1EAE"/>
    <w:rsid w:val="006D6908"/>
    <w:rsid w:val="007037FC"/>
    <w:rsid w:val="0071138A"/>
    <w:rsid w:val="00724F7F"/>
    <w:rsid w:val="00736674"/>
    <w:rsid w:val="00744B54"/>
    <w:rsid w:val="00750414"/>
    <w:rsid w:val="00785701"/>
    <w:rsid w:val="00785746"/>
    <w:rsid w:val="007C28A0"/>
    <w:rsid w:val="007C5336"/>
    <w:rsid w:val="007D10BD"/>
    <w:rsid w:val="007F422E"/>
    <w:rsid w:val="00805361"/>
    <w:rsid w:val="00806067"/>
    <w:rsid w:val="00812E8A"/>
    <w:rsid w:val="00843D30"/>
    <w:rsid w:val="00843E3F"/>
    <w:rsid w:val="0085628A"/>
    <w:rsid w:val="00866261"/>
    <w:rsid w:val="008817AE"/>
    <w:rsid w:val="008B21B2"/>
    <w:rsid w:val="008B560F"/>
    <w:rsid w:val="008C47EF"/>
    <w:rsid w:val="008C68C4"/>
    <w:rsid w:val="008F0D56"/>
    <w:rsid w:val="009020EB"/>
    <w:rsid w:val="009161CF"/>
    <w:rsid w:val="00921E3F"/>
    <w:rsid w:val="00922CFC"/>
    <w:rsid w:val="00926556"/>
    <w:rsid w:val="0093503A"/>
    <w:rsid w:val="00950BA4"/>
    <w:rsid w:val="00972F23"/>
    <w:rsid w:val="009735CF"/>
    <w:rsid w:val="009764A3"/>
    <w:rsid w:val="009903EF"/>
    <w:rsid w:val="009950D0"/>
    <w:rsid w:val="009A34A7"/>
    <w:rsid w:val="009D2ABE"/>
    <w:rsid w:val="009E7A7B"/>
    <w:rsid w:val="00A00601"/>
    <w:rsid w:val="00A0373B"/>
    <w:rsid w:val="00A04501"/>
    <w:rsid w:val="00A24753"/>
    <w:rsid w:val="00A92C3C"/>
    <w:rsid w:val="00A92C6C"/>
    <w:rsid w:val="00AA0F4E"/>
    <w:rsid w:val="00AC5527"/>
    <w:rsid w:val="00AD350F"/>
    <w:rsid w:val="00AE358B"/>
    <w:rsid w:val="00AF35D2"/>
    <w:rsid w:val="00B12F80"/>
    <w:rsid w:val="00B31B99"/>
    <w:rsid w:val="00B52658"/>
    <w:rsid w:val="00B82797"/>
    <w:rsid w:val="00B85B8A"/>
    <w:rsid w:val="00BA38F7"/>
    <w:rsid w:val="00BE3A38"/>
    <w:rsid w:val="00BF5BC6"/>
    <w:rsid w:val="00BF6070"/>
    <w:rsid w:val="00BF7D69"/>
    <w:rsid w:val="00C05DF1"/>
    <w:rsid w:val="00C13669"/>
    <w:rsid w:val="00C152BA"/>
    <w:rsid w:val="00C157B3"/>
    <w:rsid w:val="00C2093E"/>
    <w:rsid w:val="00C20B29"/>
    <w:rsid w:val="00C22316"/>
    <w:rsid w:val="00C63C30"/>
    <w:rsid w:val="00C63C6D"/>
    <w:rsid w:val="00C761FD"/>
    <w:rsid w:val="00C76383"/>
    <w:rsid w:val="00CB2609"/>
    <w:rsid w:val="00CB669D"/>
    <w:rsid w:val="00CE2527"/>
    <w:rsid w:val="00CE2662"/>
    <w:rsid w:val="00CE2683"/>
    <w:rsid w:val="00CF1ABF"/>
    <w:rsid w:val="00CF22F9"/>
    <w:rsid w:val="00CF6624"/>
    <w:rsid w:val="00D01B0D"/>
    <w:rsid w:val="00D11FDE"/>
    <w:rsid w:val="00D328A3"/>
    <w:rsid w:val="00D3330C"/>
    <w:rsid w:val="00D342E1"/>
    <w:rsid w:val="00D44104"/>
    <w:rsid w:val="00D51A6A"/>
    <w:rsid w:val="00D61701"/>
    <w:rsid w:val="00D66C08"/>
    <w:rsid w:val="00D8526D"/>
    <w:rsid w:val="00D900DA"/>
    <w:rsid w:val="00D94467"/>
    <w:rsid w:val="00DB3FF7"/>
    <w:rsid w:val="00DD2521"/>
    <w:rsid w:val="00DE028B"/>
    <w:rsid w:val="00DF6BF6"/>
    <w:rsid w:val="00E03DB7"/>
    <w:rsid w:val="00E042B8"/>
    <w:rsid w:val="00E13938"/>
    <w:rsid w:val="00E330EE"/>
    <w:rsid w:val="00E4181E"/>
    <w:rsid w:val="00E536A9"/>
    <w:rsid w:val="00EB2F6C"/>
    <w:rsid w:val="00EB3AD6"/>
    <w:rsid w:val="00ED34CC"/>
    <w:rsid w:val="00ED767F"/>
    <w:rsid w:val="00F00542"/>
    <w:rsid w:val="00F21CC3"/>
    <w:rsid w:val="00F23D85"/>
    <w:rsid w:val="00F25B71"/>
    <w:rsid w:val="00F25FD4"/>
    <w:rsid w:val="00F521EC"/>
    <w:rsid w:val="00FA71A3"/>
    <w:rsid w:val="00FB51D3"/>
    <w:rsid w:val="00FC19A5"/>
    <w:rsid w:val="00FC4F84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3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96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38"/>
    <w:pPr>
      <w:spacing w:after="0"/>
      <w:outlineLvl w:val="0"/>
    </w:pPr>
    <w:rPr>
      <w:rFonts w:asciiTheme="minorHAnsi" w:eastAsiaTheme="majorEastAsia" w:hAnsiTheme="minorHAnsi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38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938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3938"/>
    <w:rPr>
      <w:rFonts w:eastAsiaTheme="majorEastAsia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3938"/>
    <w:rPr>
      <w:rFonts w:asciiTheme="majorHAnsi" w:eastAsiaTheme="majorEastAsia" w:hAnsiTheme="majorHAnsi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3EE3"/>
    <w:pPr>
      <w:tabs>
        <w:tab w:val="left" w:pos="360"/>
        <w:tab w:val="left" w:pos="720"/>
      </w:tabs>
      <w:spacing w:before="120"/>
      <w:ind w:left="720" w:right="360" w:hanging="360"/>
    </w:pPr>
  </w:style>
  <w:style w:type="character" w:customStyle="1" w:styleId="Heading3Char">
    <w:name w:val="Heading 3 Char"/>
    <w:basedOn w:val="DefaultParagraphFont"/>
    <w:link w:val="Heading3"/>
    <w:uiPriority w:val="9"/>
    <w:rsid w:val="00E13938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0D0"/>
    <w:rPr>
      <w:color w:val="0066C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1A3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2E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95F"/>
    <w:pPr>
      <w:spacing w:after="0" w:line="240" w:lineRule="auto"/>
    </w:pPr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7" ma:contentTypeDescription="Create a new document." ma:contentTypeScope="" ma:versionID="146bba3705457c91511ed8d404e823d2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3cf30642d5d42cd3d5139a8ae23095a3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07A9-9C03-4F20-821F-F5606CC39ED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2.xml><?xml version="1.0" encoding="utf-8"?>
<ds:datastoreItem xmlns:ds="http://schemas.openxmlformats.org/officeDocument/2006/customXml" ds:itemID="{0E6B09F2-DB78-47AA-A237-01983361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E06E-5FBE-48D0-9581-6D6B59E81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4DDA4-CC12-C042-8877-12BAAA8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m7l1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m7l1</dc:title>
  <dc:creator>Alma Godoy</dc:creator>
  <cp:lastModifiedBy>Hansen, Britta</cp:lastModifiedBy>
  <cp:revision>2</cp:revision>
  <cp:lastPrinted>2012-01-27T20:22:00Z</cp:lastPrinted>
  <dcterms:created xsi:type="dcterms:W3CDTF">2018-09-04T22:16:00Z</dcterms:created>
  <dcterms:modified xsi:type="dcterms:W3CDTF">2018-09-04T22:16:00Z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