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98B" w14:textId="77777777" w:rsidR="00286DC1" w:rsidRPr="00CA1AEC" w:rsidRDefault="00E309F7" w:rsidP="00CC1821">
      <w:pPr>
        <w:pStyle w:val="OMEHeading1"/>
      </w:pPr>
      <w:bookmarkStart w:id="0" w:name="_Toc179174052"/>
      <w:bookmarkStart w:id="1" w:name="_Toc334608033"/>
      <w:bookmarkStart w:id="2" w:name="_Toc334799979"/>
      <w:bookmarkStart w:id="3" w:name="_Toc524948406"/>
      <w:r>
        <w:t xml:space="preserve">Appendix XI: </w:t>
      </w:r>
      <w:r w:rsidR="00286DC1" w:rsidRPr="000B7B09">
        <w:t>State</w:t>
      </w:r>
      <w:r w:rsidR="00286DC1" w:rsidRPr="000B7B09">
        <w:fldChar w:fldCharType="begin"/>
      </w:r>
      <w:r w:rsidR="00286DC1" w:rsidRPr="000B7B09">
        <w:instrText xml:space="preserve"> XE "State" </w:instrText>
      </w:r>
      <w:r w:rsidR="00286DC1" w:rsidRPr="000B7B09">
        <w:fldChar w:fldCharType="end"/>
      </w:r>
      <w:r w:rsidR="00286DC1" w:rsidRPr="000B7B09">
        <w:t>-Provided Supplemental</w:t>
      </w:r>
      <w:r w:rsidR="00286DC1" w:rsidRPr="00CA1AEC">
        <w:t xml:space="preserve"> </w:t>
      </w:r>
      <w:r w:rsidR="00286DC1" w:rsidRPr="000B7B09">
        <w:t>ID&amp;R</w:t>
      </w:r>
      <w:r w:rsidR="00286DC1" w:rsidRPr="000B7B09">
        <w:fldChar w:fldCharType="begin"/>
      </w:r>
      <w:r w:rsidR="00286DC1" w:rsidRPr="000B7B09">
        <w:instrText xml:space="preserve"> XE "Identification and Recruitment" </w:instrText>
      </w:r>
      <w:r w:rsidR="00286DC1" w:rsidRPr="000B7B09">
        <w:fldChar w:fldCharType="end"/>
      </w:r>
      <w:r w:rsidR="00286DC1" w:rsidRPr="000B7B09">
        <w:t xml:space="preserve"> Materials</w:t>
      </w:r>
      <w:bookmarkEnd w:id="0"/>
      <w:bookmarkEnd w:id="1"/>
      <w:bookmarkEnd w:id="2"/>
      <w:bookmarkEnd w:id="3"/>
      <w:r w:rsidR="00286DC1" w:rsidRPr="00CA1AEC">
        <w:t xml:space="preserve"> </w:t>
      </w:r>
    </w:p>
    <w:p w14:paraId="607BAB6F" w14:textId="77777777" w:rsidR="00286DC1" w:rsidRPr="00CA1AEC" w:rsidRDefault="00286DC1" w:rsidP="0006589C">
      <w:pPr>
        <w:pStyle w:val="IDRText"/>
      </w:pPr>
      <w:r>
        <w:t xml:space="preserve">The </w:t>
      </w:r>
      <w:r w:rsidRPr="00B47D0B">
        <w:rPr>
          <w:rStyle w:val="Emphasis"/>
        </w:rPr>
        <w:t>National ID&amp;R Manual</w:t>
      </w:r>
      <w:r w:rsidRPr="00CA1AEC">
        <w:t xml:space="preserve"> provides specific information about ID&amp;R</w:t>
      </w:r>
      <w:r w:rsidRPr="00CA1AEC">
        <w:fldChar w:fldCharType="begin"/>
      </w:r>
      <w:r w:rsidRPr="00CA1AEC">
        <w:instrText xml:space="preserve"> XE "Identification and Recruitment" </w:instrText>
      </w:r>
      <w:r w:rsidRPr="00CA1AEC">
        <w:fldChar w:fldCharType="end"/>
      </w:r>
      <w:r w:rsidRPr="00CA1AEC">
        <w:t xml:space="preserve"> for purposes of the MEP</w:t>
      </w:r>
      <w:r>
        <w:t>;</w:t>
      </w:r>
      <w:r w:rsidRPr="00CA1AEC">
        <w:fldChar w:fldCharType="begin"/>
      </w:r>
      <w:r w:rsidRPr="00CA1AEC">
        <w:instrText xml:space="preserve"> XE "MEP" </w:instrText>
      </w:r>
      <w:r w:rsidRPr="00CA1AEC">
        <w:fldChar w:fldCharType="end"/>
      </w:r>
      <w:r w:rsidRPr="00CA1AEC">
        <w:fldChar w:fldCharType="begin"/>
      </w:r>
      <w:r w:rsidRPr="00CA1AEC">
        <w:instrText xml:space="preserve"> XE "Migrant Education Program" </w:instrText>
      </w:r>
      <w:r w:rsidRPr="00CA1AEC">
        <w:fldChar w:fldCharType="end"/>
      </w:r>
      <w:r w:rsidRPr="00CA1AEC">
        <w:t xml:space="preserve"> however, there are a number of items that would be helpful to recruiters that were not provided in this manual because </w:t>
      </w:r>
      <w:r>
        <w:t xml:space="preserve">they vary from state-to-state. </w:t>
      </w:r>
      <w:r w:rsidRPr="00CA1AEC">
        <w:t>Some of</w:t>
      </w:r>
      <w:r>
        <w:t xml:space="preserve"> these items are listed below. </w:t>
      </w:r>
      <w:r w:rsidRPr="00CA1AEC">
        <w:t xml:space="preserve">States </w:t>
      </w:r>
      <w:r w:rsidRPr="00CA1AEC">
        <w:fldChar w:fldCharType="begin"/>
      </w:r>
      <w:r w:rsidRPr="00CA1AEC">
        <w:instrText xml:space="preserve"> XE "State" </w:instrText>
      </w:r>
      <w:r w:rsidRPr="00CA1AEC">
        <w:fldChar w:fldCharType="end"/>
      </w:r>
      <w:r w:rsidRPr="00CA1AEC">
        <w:t xml:space="preserve">may wish to provide some or all of these materials to ensure that recruiters have the information needed to </w:t>
      </w:r>
      <w:r w:rsidR="005514E7" w:rsidRPr="00CA1AEC">
        <w:t>perform their</w:t>
      </w:r>
      <w:r w:rsidRPr="00CA1AEC">
        <w:t xml:space="preserve"> job:</w:t>
      </w:r>
    </w:p>
    <w:p w14:paraId="036CAC2D" w14:textId="77777777" w:rsidR="00286DC1" w:rsidRPr="00CA1AEC" w:rsidRDefault="00286DC1" w:rsidP="0006589C">
      <w:pPr>
        <w:pStyle w:val="IDRText"/>
      </w:pPr>
      <w:r w:rsidRPr="00CA1AEC">
        <w:t>State</w:t>
      </w:r>
      <w:r w:rsidRPr="00CA1AEC">
        <w:fldChar w:fldCharType="begin"/>
      </w:r>
      <w:r w:rsidRPr="00CA1AEC">
        <w:instrText xml:space="preserve"> XE "State" </w:instrText>
      </w:r>
      <w:r w:rsidRPr="00CA1AEC">
        <w:fldChar w:fldCharType="end"/>
      </w:r>
      <w:r w:rsidRPr="00CA1AEC">
        <w:t xml:space="preserve"> legislation affecting migra</w:t>
      </w:r>
      <w:r>
        <w:t>tory</w:t>
      </w:r>
      <w:r w:rsidRPr="00CA1AEC">
        <w:t xml:space="preserve"> children</w:t>
      </w:r>
      <w:r w:rsidRPr="00CA1AEC">
        <w:fldChar w:fldCharType="begin"/>
      </w:r>
      <w:r w:rsidRPr="00CA1AEC">
        <w:instrText xml:space="preserve"> XE "Youth" </w:instrText>
      </w:r>
      <w:r w:rsidRPr="00CA1AEC">
        <w:fldChar w:fldCharType="end"/>
      </w:r>
      <w:r>
        <w:t>:</w:t>
      </w:r>
      <w:r w:rsidRPr="00CA1AEC">
        <w:t xml:space="preserve">  </w:t>
      </w:r>
    </w:p>
    <w:p w14:paraId="7B15EE92" w14:textId="77777777" w:rsidR="00286DC1" w:rsidRPr="00685F59" w:rsidRDefault="00286DC1" w:rsidP="0006589C">
      <w:pPr>
        <w:pStyle w:val="IDRListParagraph"/>
      </w:pPr>
      <w:r>
        <w:t>t</w:t>
      </w:r>
      <w:r w:rsidRPr="00685F59">
        <w:t>ruancy laws, including the state</w:t>
      </w:r>
      <w:r w:rsidRPr="00685F59">
        <w:fldChar w:fldCharType="begin"/>
      </w:r>
      <w:r w:rsidRPr="00685F59">
        <w:instrText xml:space="preserve"> XE "State" </w:instrText>
      </w:r>
      <w:r w:rsidRPr="00685F59">
        <w:fldChar w:fldCharType="end"/>
      </w:r>
      <w:r w:rsidRPr="00685F59">
        <w:t>’s compulsory age of attendance</w:t>
      </w:r>
    </w:p>
    <w:p w14:paraId="136E4809" w14:textId="77777777" w:rsidR="00286DC1" w:rsidRPr="00685F59" w:rsidRDefault="00286DC1" w:rsidP="0006589C">
      <w:pPr>
        <w:pStyle w:val="IDRListParagraph"/>
      </w:pPr>
      <w:r>
        <w:t>c</w:t>
      </w:r>
      <w:r w:rsidRPr="00685F59">
        <w:t>ompulsory attendance policies and consequences for parents</w:t>
      </w:r>
    </w:p>
    <w:p w14:paraId="08CE3174" w14:textId="77777777" w:rsidR="00286DC1" w:rsidRPr="00685F59" w:rsidRDefault="00286DC1" w:rsidP="0006589C">
      <w:pPr>
        <w:pStyle w:val="IDRListParagraph"/>
      </w:pPr>
      <w:r>
        <w:t>c</w:t>
      </w:r>
      <w:r w:rsidRPr="00685F59">
        <w:t>hild abuse or neglect reporting requirements</w:t>
      </w:r>
      <w:r w:rsidRPr="00685F59">
        <w:fldChar w:fldCharType="begin"/>
      </w:r>
      <w:r w:rsidRPr="00685F59">
        <w:instrText xml:space="preserve"> XE "Requirements" </w:instrText>
      </w:r>
      <w:r w:rsidRPr="00685F59">
        <w:fldChar w:fldCharType="end"/>
      </w:r>
      <w:r w:rsidRPr="00685F59">
        <w:fldChar w:fldCharType="begin"/>
      </w:r>
      <w:r w:rsidRPr="00685F59">
        <w:instrText xml:space="preserve"> XE "requirements" </w:instrText>
      </w:r>
      <w:r w:rsidRPr="00685F59">
        <w:fldChar w:fldCharType="end"/>
      </w:r>
      <w:r w:rsidRPr="00685F59">
        <w:t xml:space="preserve"> (including a list of mandatory reporters </w:t>
      </w:r>
      <w:r>
        <w:br/>
      </w:r>
      <w:r w:rsidRPr="00685F59">
        <w:t>and instructions for reporting suspected abuse or neglect)</w:t>
      </w:r>
      <w:r w:rsidRPr="00685F59">
        <w:fldChar w:fldCharType="begin"/>
      </w:r>
      <w:r w:rsidRPr="00685F59">
        <w:instrText xml:space="preserve"> XE "Local" </w:instrText>
      </w:r>
      <w:r w:rsidRPr="00685F59">
        <w:fldChar w:fldCharType="end"/>
      </w:r>
    </w:p>
    <w:p w14:paraId="694BDABF" w14:textId="77777777" w:rsidR="00286DC1" w:rsidRPr="00CA1AEC" w:rsidRDefault="00286DC1" w:rsidP="0006589C">
      <w:pPr>
        <w:pStyle w:val="IDRListParagraph"/>
      </w:pPr>
      <w:r>
        <w:t>m</w:t>
      </w:r>
      <w:r w:rsidRPr="00685F59">
        <w:t>inimum immunization requirements</w:t>
      </w:r>
      <w:r w:rsidRPr="00685F59">
        <w:fldChar w:fldCharType="begin"/>
      </w:r>
      <w:r w:rsidRPr="00685F59">
        <w:instrText xml:space="preserve"> XE "Requirements" </w:instrText>
      </w:r>
      <w:r w:rsidRPr="00685F59">
        <w:fldChar w:fldCharType="end"/>
      </w:r>
      <w:r w:rsidRPr="00685F59">
        <w:fldChar w:fldCharType="begin"/>
      </w:r>
      <w:r w:rsidRPr="00685F59">
        <w:instrText xml:space="preserve"> XE "requirements" </w:instrText>
      </w:r>
      <w:r w:rsidRPr="00685F59">
        <w:fldChar w:fldCharType="end"/>
      </w:r>
      <w:r w:rsidRPr="00685F59">
        <w:t xml:space="preserve"> to enroll in </w:t>
      </w:r>
      <w:r w:rsidRPr="00685F59">
        <w:fldChar w:fldCharType="begin"/>
      </w:r>
      <w:r w:rsidRPr="00685F59">
        <w:instrText xml:space="preserve"> XE "State" </w:instrText>
      </w:r>
      <w:r w:rsidRPr="00685F59">
        <w:fldChar w:fldCharType="end"/>
      </w:r>
      <w:r w:rsidRPr="00685F59">
        <w:t>school</w:t>
      </w:r>
      <w:r w:rsidRPr="00685F59">
        <w:fldChar w:fldCharType="begin"/>
      </w:r>
      <w:r w:rsidRPr="00685F59">
        <w:instrText xml:space="preserve"> XE "School" </w:instrText>
      </w:r>
      <w:r w:rsidRPr="00685F59">
        <w:fldChar w:fldCharType="end"/>
      </w:r>
    </w:p>
    <w:p w14:paraId="1E13C6A7" w14:textId="77777777" w:rsidR="00286DC1" w:rsidRPr="00CA1AEC" w:rsidRDefault="00286DC1" w:rsidP="005A102E">
      <w:pPr>
        <w:pStyle w:val="IDRText"/>
      </w:pPr>
      <w:r w:rsidRPr="00CA1AEC">
        <w:t>Other state</w:t>
      </w:r>
      <w:r w:rsidRPr="00CA1AEC">
        <w:fldChar w:fldCharType="begin"/>
      </w:r>
      <w:r w:rsidRPr="00CA1AEC">
        <w:instrText xml:space="preserve"> XE "State" </w:instrText>
      </w:r>
      <w:r w:rsidRPr="00CA1AEC">
        <w:fldChar w:fldCharType="end"/>
      </w:r>
      <w:r w:rsidRPr="00CA1AEC">
        <w:t xml:space="preserve"> </w:t>
      </w:r>
      <w:r w:rsidRPr="00CA1AEC">
        <w:fldChar w:fldCharType="begin"/>
      </w:r>
      <w:r w:rsidRPr="00CA1AEC">
        <w:instrText xml:space="preserve"> XE "MEP" </w:instrText>
      </w:r>
      <w:r w:rsidRPr="00CA1AEC">
        <w:fldChar w:fldCharType="end"/>
      </w:r>
      <w:r w:rsidRPr="00CA1AEC">
        <w:fldChar w:fldCharType="begin"/>
      </w:r>
      <w:r w:rsidRPr="00CA1AEC">
        <w:instrText xml:space="preserve"> XE "Migrant Education Program" </w:instrText>
      </w:r>
      <w:r w:rsidRPr="00CA1AEC">
        <w:fldChar w:fldCharType="end"/>
      </w:r>
      <w:r w:rsidRPr="00CA1AEC">
        <w:t>information</w:t>
      </w:r>
      <w:r>
        <w:t>:</w:t>
      </w:r>
    </w:p>
    <w:p w14:paraId="77B8B268" w14:textId="77777777" w:rsidR="00286DC1" w:rsidRPr="00685F59" w:rsidRDefault="00286DC1" w:rsidP="0006589C">
      <w:pPr>
        <w:pStyle w:val="IDRListParagraph"/>
      </w:pPr>
      <w:r>
        <w:t>s</w:t>
      </w:r>
      <w:r w:rsidRPr="00685F59">
        <w:t>taff and program directory</w:t>
      </w:r>
    </w:p>
    <w:p w14:paraId="03A13366" w14:textId="77777777" w:rsidR="00286DC1" w:rsidRPr="00685F59" w:rsidRDefault="00286DC1" w:rsidP="0006589C">
      <w:pPr>
        <w:pStyle w:val="IDRListParagraph"/>
      </w:pPr>
      <w:r>
        <w:t>o</w:t>
      </w:r>
      <w:r w:rsidRPr="00685F59">
        <w:t>rganizational chart and the position description or list of responsibilities for various positions (</w:t>
      </w:r>
      <w:r>
        <w:t>e.g.,</w:t>
      </w:r>
      <w:r w:rsidRPr="00685F59">
        <w:t xml:space="preserve"> recruiter, data entry specialist, administrator</w:t>
      </w:r>
      <w:r w:rsidRPr="00685F59">
        <w:fldChar w:fldCharType="begin"/>
      </w:r>
      <w:r w:rsidRPr="00685F59">
        <w:instrText xml:space="preserve"> XE "Administrator" </w:instrText>
      </w:r>
      <w:r w:rsidRPr="00685F59">
        <w:fldChar w:fldCharType="end"/>
      </w:r>
      <w:r w:rsidRPr="00685F59">
        <w:t>, state</w:t>
      </w:r>
      <w:r w:rsidRPr="00685F59">
        <w:fldChar w:fldCharType="begin"/>
      </w:r>
      <w:r w:rsidRPr="00685F59">
        <w:instrText xml:space="preserve"> XE "State" </w:instrText>
      </w:r>
      <w:r w:rsidRPr="00685F59">
        <w:fldChar w:fldCharType="end"/>
      </w:r>
      <w:r w:rsidRPr="00685F59">
        <w:t xml:space="preserve"> director)</w:t>
      </w:r>
    </w:p>
    <w:p w14:paraId="5A3D8E05" w14:textId="77777777" w:rsidR="00286DC1" w:rsidRPr="00685F59" w:rsidRDefault="00286DC1" w:rsidP="0006589C">
      <w:pPr>
        <w:pStyle w:val="IDRListParagraph"/>
      </w:pPr>
      <w:r>
        <w:t>s</w:t>
      </w:r>
      <w:r w:rsidRPr="00685F59">
        <w:t>tate map</w:t>
      </w:r>
    </w:p>
    <w:p w14:paraId="067E37FA" w14:textId="77777777" w:rsidR="00286DC1" w:rsidRPr="00685F59" w:rsidRDefault="00286DC1" w:rsidP="0006589C">
      <w:pPr>
        <w:pStyle w:val="IDRListParagraph"/>
      </w:pPr>
      <w:r>
        <w:t>c</w:t>
      </w:r>
      <w:r w:rsidRPr="00685F59">
        <w:t>ommon agricultural and/or fishing</w:t>
      </w:r>
      <w:r w:rsidRPr="00685F59">
        <w:fldChar w:fldCharType="begin"/>
      </w:r>
      <w:r w:rsidRPr="00685F59">
        <w:instrText xml:space="preserve"> XE "Fishing Activity" </w:instrText>
      </w:r>
      <w:r w:rsidRPr="00685F59">
        <w:fldChar w:fldCharType="end"/>
      </w:r>
      <w:r w:rsidRPr="00685F59">
        <w:t xml:space="preserve"> </w:t>
      </w:r>
      <w:r>
        <w:t>work</w:t>
      </w:r>
      <w:r w:rsidRPr="00685F59">
        <w:t xml:space="preserve"> found within the state (chart locations </w:t>
      </w:r>
      <w:r>
        <w:br/>
      </w:r>
      <w:r w:rsidRPr="00685F59">
        <w:t>on a state map)</w:t>
      </w:r>
      <w:r w:rsidRPr="00685F59">
        <w:fldChar w:fldCharType="begin"/>
      </w:r>
      <w:r w:rsidRPr="00685F59">
        <w:instrText xml:space="preserve"> XE "State" </w:instrText>
      </w:r>
      <w:r w:rsidRPr="00685F59">
        <w:fldChar w:fldCharType="end"/>
      </w:r>
    </w:p>
    <w:p w14:paraId="33362359" w14:textId="77777777" w:rsidR="00286DC1" w:rsidRPr="00685F59" w:rsidRDefault="00286DC1" w:rsidP="0006589C">
      <w:pPr>
        <w:pStyle w:val="IDRListParagraph"/>
      </w:pPr>
      <w:r w:rsidRPr="00685F59">
        <w:t xml:space="preserve">SEA policies and letters </w:t>
      </w:r>
      <w:r w:rsidRPr="00685F59">
        <w:fldChar w:fldCharType="begin"/>
      </w:r>
      <w:r w:rsidRPr="00685F59">
        <w:instrText xml:space="preserve"> XE "State Education Agency" </w:instrText>
      </w:r>
      <w:r w:rsidRPr="00685F59">
        <w:fldChar w:fldCharType="end"/>
      </w:r>
      <w:r w:rsidRPr="00685F59">
        <w:t>on MEP</w:t>
      </w:r>
      <w:r w:rsidRPr="00685F59">
        <w:fldChar w:fldCharType="begin"/>
      </w:r>
      <w:r w:rsidRPr="00685F59">
        <w:instrText xml:space="preserve"> XE "MEP" </w:instrText>
      </w:r>
      <w:r w:rsidRPr="00685F59">
        <w:fldChar w:fldCharType="end"/>
      </w:r>
      <w:r w:rsidRPr="00685F59">
        <w:fldChar w:fldCharType="begin"/>
      </w:r>
      <w:r w:rsidRPr="00685F59">
        <w:instrText xml:space="preserve"> XE "Migrant Education Program" </w:instrText>
      </w:r>
      <w:r w:rsidRPr="00685F59">
        <w:fldChar w:fldCharType="end"/>
      </w:r>
      <w:r w:rsidRPr="00685F59">
        <w:t xml:space="preserve"> issues, including eligibility</w:t>
      </w:r>
      <w:r w:rsidRPr="00685F59">
        <w:fldChar w:fldCharType="begin"/>
      </w:r>
      <w:r w:rsidRPr="00685F59">
        <w:instrText xml:space="preserve"> XE "Eligibility" </w:instrText>
      </w:r>
      <w:r w:rsidRPr="00685F59">
        <w:fldChar w:fldCharType="end"/>
      </w:r>
      <w:r w:rsidRPr="00685F59">
        <w:t xml:space="preserve"> determinations</w:t>
      </w:r>
    </w:p>
    <w:p w14:paraId="3EF6E9A5" w14:textId="77777777" w:rsidR="00286DC1" w:rsidRPr="00685F59" w:rsidRDefault="00286DC1" w:rsidP="0006589C">
      <w:pPr>
        <w:pStyle w:val="IDRListParagraph"/>
      </w:pPr>
      <w:r>
        <w:t>s</w:t>
      </w:r>
      <w:r w:rsidRPr="00685F59">
        <w:t>pecific services provided by the state</w:t>
      </w:r>
      <w:r w:rsidRPr="00685F59">
        <w:fldChar w:fldCharType="begin"/>
      </w:r>
      <w:r w:rsidRPr="00685F59">
        <w:instrText xml:space="preserve"> XE "State" </w:instrText>
      </w:r>
      <w:r w:rsidRPr="00685F59">
        <w:fldChar w:fldCharType="end"/>
      </w:r>
      <w:r w:rsidRPr="00685F59">
        <w:t xml:space="preserve"> MEP</w:t>
      </w:r>
      <w:r w:rsidRPr="00685F59">
        <w:fldChar w:fldCharType="begin"/>
      </w:r>
      <w:r w:rsidRPr="00685F59">
        <w:instrText xml:space="preserve"> XE "MEP" </w:instrText>
      </w:r>
      <w:r w:rsidRPr="00685F59">
        <w:fldChar w:fldCharType="end"/>
      </w:r>
      <w:r w:rsidRPr="00685F59">
        <w:fldChar w:fldCharType="begin"/>
      </w:r>
      <w:r w:rsidRPr="00685F59">
        <w:instrText xml:space="preserve"> XE "Migrant Education Program" </w:instrText>
      </w:r>
      <w:r w:rsidRPr="00685F59">
        <w:fldChar w:fldCharType="end"/>
      </w:r>
      <w:r w:rsidRPr="00685F59">
        <w:t xml:space="preserve"> (</w:t>
      </w:r>
      <w:r>
        <w:t>e.g.,</w:t>
      </w:r>
      <w:r w:rsidRPr="00685F59">
        <w:t xml:space="preserve"> accident and health insurance)</w:t>
      </w:r>
    </w:p>
    <w:p w14:paraId="216E3064" w14:textId="77777777" w:rsidR="00286DC1" w:rsidRPr="00685F59" w:rsidRDefault="00286DC1" w:rsidP="0006589C">
      <w:pPr>
        <w:pStyle w:val="IDRListParagraph"/>
      </w:pPr>
      <w:r>
        <w:t>r</w:t>
      </w:r>
      <w:r w:rsidRPr="00685F59">
        <w:t>eferral list of local</w:t>
      </w:r>
      <w:r w:rsidRPr="00685F59">
        <w:fldChar w:fldCharType="begin"/>
      </w:r>
      <w:r w:rsidRPr="00685F59">
        <w:instrText xml:space="preserve"> XE "Local" </w:instrText>
      </w:r>
      <w:r w:rsidRPr="00685F59">
        <w:fldChar w:fldCharType="end"/>
      </w:r>
      <w:r w:rsidRPr="00685F59">
        <w:t xml:space="preserve"> agencies and services (</w:t>
      </w:r>
      <w:r>
        <w:t>e.g.,</w:t>
      </w:r>
      <w:r w:rsidRPr="00685F59">
        <w:t xml:space="preserve"> food, clothing, health, educational, legal)</w:t>
      </w:r>
    </w:p>
    <w:p w14:paraId="1B4330D1" w14:textId="77777777" w:rsidR="00286DC1" w:rsidRPr="00685F59" w:rsidRDefault="00286DC1" w:rsidP="0006589C">
      <w:pPr>
        <w:pStyle w:val="IDRListParagraph"/>
      </w:pPr>
      <w:r>
        <w:t>s</w:t>
      </w:r>
      <w:r w:rsidRPr="00685F59">
        <w:t>tate and local</w:t>
      </w:r>
      <w:r w:rsidRPr="00685F59">
        <w:fldChar w:fldCharType="begin"/>
      </w:r>
      <w:r w:rsidRPr="00685F59">
        <w:instrText xml:space="preserve"> XE "Local" </w:instrText>
      </w:r>
      <w:r w:rsidRPr="00685F59">
        <w:fldChar w:fldCharType="end"/>
      </w:r>
      <w:r w:rsidRPr="00685F59">
        <w:t xml:space="preserve"> action plan</w:t>
      </w:r>
      <w:r w:rsidRPr="00685F59">
        <w:fldChar w:fldCharType="begin"/>
      </w:r>
      <w:r w:rsidRPr="00685F59">
        <w:instrText xml:space="preserve"> XE "Action plan" </w:instrText>
      </w:r>
      <w:r w:rsidRPr="00685F59">
        <w:fldChar w:fldCharType="end"/>
      </w:r>
      <w:r w:rsidRPr="00685F59">
        <w:t>s</w:t>
      </w:r>
    </w:p>
    <w:p w14:paraId="7BB47626" w14:textId="77777777" w:rsidR="00286DC1" w:rsidRPr="00685F59" w:rsidRDefault="00286DC1" w:rsidP="0006589C">
      <w:pPr>
        <w:pStyle w:val="IDRListParagraph"/>
      </w:pPr>
      <w:r>
        <w:t>e</w:t>
      </w:r>
      <w:r w:rsidRPr="00685F59">
        <w:t>thics and safety</w:t>
      </w:r>
      <w:r w:rsidRPr="00685F59">
        <w:fldChar w:fldCharType="begin"/>
      </w:r>
      <w:r w:rsidRPr="00685F59">
        <w:instrText xml:space="preserve"> XE "Safety" </w:instrText>
      </w:r>
      <w:r w:rsidRPr="00685F59">
        <w:fldChar w:fldCharType="end"/>
      </w:r>
      <w:r w:rsidRPr="00685F59">
        <w:t xml:space="preserve"> policies</w:t>
      </w:r>
    </w:p>
    <w:p w14:paraId="552580CC" w14:textId="77777777" w:rsidR="00286DC1" w:rsidRDefault="00286DC1" w:rsidP="0006589C">
      <w:pPr>
        <w:pStyle w:val="IDRListParagraph"/>
      </w:pPr>
      <w:r>
        <w:t>t</w:t>
      </w:r>
      <w:r w:rsidRPr="00685F59">
        <w:t>raining opportunities</w:t>
      </w:r>
    </w:p>
    <w:p w14:paraId="391EB4BE" w14:textId="3A2FF4D8" w:rsidR="000239A1" w:rsidRPr="004409BD" w:rsidRDefault="00286DC1" w:rsidP="00BA2442">
      <w:pPr>
        <w:pStyle w:val="IDRListParagraph"/>
        <w:rPr>
          <w:u w:val="single"/>
        </w:rPr>
      </w:pPr>
      <w:r>
        <w:t>s</w:t>
      </w:r>
      <w:r w:rsidRPr="00566EDB">
        <w:t>tate procedures (</w:t>
      </w:r>
      <w:r>
        <w:t>e.g.,</w:t>
      </w:r>
      <w:r w:rsidRPr="00566EDB">
        <w:t xml:space="preserve"> mileage reimbursement rules and forms, recruiter weekly activity logs, time-and-effort logs for staff wh</w:t>
      </w:r>
      <w:bookmarkStart w:id="4" w:name="_GoBack"/>
      <w:bookmarkEnd w:id="4"/>
      <w:r w:rsidRPr="00566EDB">
        <w:t>o are paid by more than one program)</w:t>
      </w:r>
      <w:bookmarkStart w:id="5" w:name="_Toc334608034"/>
      <w:bookmarkStart w:id="6" w:name="_Toc334799980"/>
      <w:r w:rsidR="0006589C" w:rsidRPr="004409BD">
        <w:rPr>
          <w:rFonts w:eastAsia="Calibri"/>
        </w:rPr>
        <w:t xml:space="preserve"> </w:t>
      </w:r>
      <w:bookmarkEnd w:id="5"/>
      <w:bookmarkEnd w:id="6"/>
    </w:p>
    <w:sectPr w:rsidR="000239A1" w:rsidRPr="004409BD" w:rsidSect="005514E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ACB8" w14:textId="77777777" w:rsidR="009A1AAF" w:rsidRDefault="009A1AAF" w:rsidP="00286DC1">
      <w:r>
        <w:separator/>
      </w:r>
    </w:p>
  </w:endnote>
  <w:endnote w:type="continuationSeparator" w:id="0">
    <w:p w14:paraId="4EA2FA1A" w14:textId="77777777" w:rsidR="009A1AAF" w:rsidRDefault="009A1AAF" w:rsidP="00286DC1">
      <w:r>
        <w:continuationSeparator/>
      </w:r>
    </w:p>
  </w:endnote>
  <w:endnote w:type="continuationNotice" w:id="1">
    <w:p w14:paraId="013AE447" w14:textId="77777777" w:rsidR="009A1AAF" w:rsidRDefault="009A1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EB6C" w14:textId="77777777" w:rsidR="009A1AAF" w:rsidRDefault="009A1AAF" w:rsidP="00286DC1">
      <w:r>
        <w:separator/>
      </w:r>
    </w:p>
  </w:footnote>
  <w:footnote w:type="continuationSeparator" w:id="0">
    <w:p w14:paraId="74CF7DF4" w14:textId="77777777" w:rsidR="009A1AAF" w:rsidRDefault="009A1AAF" w:rsidP="00286DC1">
      <w:r>
        <w:continuationSeparator/>
      </w:r>
    </w:p>
  </w:footnote>
  <w:footnote w:type="continuationNotice" w:id="1">
    <w:p w14:paraId="7D8A8A33" w14:textId="77777777" w:rsidR="009A1AAF" w:rsidRDefault="009A1A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A157" w14:textId="77777777" w:rsidR="004409BD" w:rsidRPr="00D954F4" w:rsidRDefault="004409BD" w:rsidP="004409BD">
    <w:pPr>
      <w:pStyle w:val="Header"/>
      <w:tabs>
        <w:tab w:val="left" w:pos="3960"/>
        <w:tab w:val="left" w:pos="4320"/>
      </w:tabs>
    </w:pPr>
    <w:r>
      <w:rPr>
        <w:szCs w:val="18"/>
      </w:rPr>
      <w:t xml:space="preserve">Migrant Education Program National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Appendix XI</w:t>
    </w:r>
    <w:r>
      <w:rPr>
        <w:szCs w:val="18"/>
      </w:rPr>
      <w:tab/>
    </w:r>
    <w:r w:rsidRPr="004409BD">
      <w:rPr>
        <w:szCs w:val="18"/>
      </w:rPr>
      <w:fldChar w:fldCharType="begin"/>
    </w:r>
    <w:r w:rsidRPr="004409BD">
      <w:rPr>
        <w:szCs w:val="18"/>
      </w:rPr>
      <w:instrText xml:space="preserve"> PAGE   \* MERGEFORMAT </w:instrText>
    </w:r>
    <w:r w:rsidRPr="004409BD">
      <w:rPr>
        <w:szCs w:val="18"/>
      </w:rPr>
      <w:fldChar w:fldCharType="separate"/>
    </w:r>
    <w:r w:rsidRPr="004409BD">
      <w:rPr>
        <w:szCs w:val="18"/>
      </w:rPr>
      <w:t>1</w:t>
    </w:r>
    <w:r w:rsidRPr="004409BD">
      <w:rPr>
        <w:noProof/>
        <w:szCs w:val="18"/>
      </w:rPr>
      <w:fldChar w:fldCharType="end"/>
    </w:r>
    <w:r>
      <w:rPr>
        <w:szCs w:val="18"/>
      </w:rPr>
      <w:t xml:space="preserve"> </w:t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1C2"/>
    <w:rsid w:val="0009748D"/>
    <w:rsid w:val="000A3395"/>
    <w:rsid w:val="000A4113"/>
    <w:rsid w:val="000A579A"/>
    <w:rsid w:val="000A6B33"/>
    <w:rsid w:val="000A6DE1"/>
    <w:rsid w:val="000B03F5"/>
    <w:rsid w:val="000B3283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093C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AA1"/>
    <w:rsid w:val="001C2C2D"/>
    <w:rsid w:val="001C5799"/>
    <w:rsid w:val="001C65C2"/>
    <w:rsid w:val="001C68E1"/>
    <w:rsid w:val="001C6CFB"/>
    <w:rsid w:val="001C7814"/>
    <w:rsid w:val="001D1D04"/>
    <w:rsid w:val="001D1ED1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28F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4329"/>
    <w:rsid w:val="00327271"/>
    <w:rsid w:val="00330788"/>
    <w:rsid w:val="00330E16"/>
    <w:rsid w:val="00331D2A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231"/>
    <w:rsid w:val="00367478"/>
    <w:rsid w:val="00367D96"/>
    <w:rsid w:val="003751A4"/>
    <w:rsid w:val="003772E5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4C6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9BD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74602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81A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22210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A7A21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103"/>
    <w:rsid w:val="0063475D"/>
    <w:rsid w:val="00634B9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67F50"/>
    <w:rsid w:val="0077038C"/>
    <w:rsid w:val="0077370C"/>
    <w:rsid w:val="007738CE"/>
    <w:rsid w:val="00774346"/>
    <w:rsid w:val="00774CB0"/>
    <w:rsid w:val="00777541"/>
    <w:rsid w:val="00777F55"/>
    <w:rsid w:val="007825F0"/>
    <w:rsid w:val="0078285D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047B"/>
    <w:rsid w:val="007D1214"/>
    <w:rsid w:val="007D2D46"/>
    <w:rsid w:val="007D3202"/>
    <w:rsid w:val="007D4DB8"/>
    <w:rsid w:val="007D6198"/>
    <w:rsid w:val="007D6D5F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720BD"/>
    <w:rsid w:val="00873A1D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3778D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1AAF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6D18"/>
    <w:rsid w:val="00B2765A"/>
    <w:rsid w:val="00B3648F"/>
    <w:rsid w:val="00B365F2"/>
    <w:rsid w:val="00B438FD"/>
    <w:rsid w:val="00B44C6D"/>
    <w:rsid w:val="00B452F4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C5F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275F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27B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DF6B9E"/>
    <w:rsid w:val="00E00F11"/>
    <w:rsid w:val="00E048BC"/>
    <w:rsid w:val="00E049AF"/>
    <w:rsid w:val="00E14978"/>
    <w:rsid w:val="00E14C0B"/>
    <w:rsid w:val="00E155DF"/>
    <w:rsid w:val="00E16E10"/>
    <w:rsid w:val="00E16F37"/>
    <w:rsid w:val="00E20E97"/>
    <w:rsid w:val="00E21D22"/>
    <w:rsid w:val="00E22969"/>
    <w:rsid w:val="00E24FA2"/>
    <w:rsid w:val="00E26861"/>
    <w:rsid w:val="00E309F7"/>
    <w:rsid w:val="00E40480"/>
    <w:rsid w:val="00E42BC0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B32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2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2BD66-8E61-3646-BADA-84D538B0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2350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3</cp:revision>
  <cp:lastPrinted>2018-07-20T17:55:00Z</cp:lastPrinted>
  <dcterms:created xsi:type="dcterms:W3CDTF">2018-10-01T20:14:00Z</dcterms:created>
  <dcterms:modified xsi:type="dcterms:W3CDTF">2018-10-01T21:05:00Z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