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49BE" w14:textId="77777777" w:rsidR="00286DC1" w:rsidRPr="002D119D" w:rsidRDefault="00286DC1" w:rsidP="00CC1821">
      <w:pPr>
        <w:pStyle w:val="OMEHeading1"/>
      </w:pPr>
      <w:bookmarkStart w:id="0" w:name="_Toc334607927"/>
      <w:bookmarkStart w:id="1" w:name="_Toc334799896"/>
      <w:bookmarkStart w:id="2" w:name="_Toc524948302"/>
      <w:r>
        <w:t xml:space="preserve">Chapter </w:t>
      </w:r>
      <w:r w:rsidRPr="00157079">
        <w:t>4</w:t>
      </w:r>
      <w:r w:rsidR="00057262">
        <w:t xml:space="preserve">. </w:t>
      </w:r>
      <w:r w:rsidRPr="00157079">
        <w:t xml:space="preserve">Building a </w:t>
      </w:r>
      <w:r w:rsidRPr="00157079">
        <w:fldChar w:fldCharType="begin"/>
      </w:r>
      <w:r w:rsidRPr="00157079">
        <w:instrText xml:space="preserve"> XE "Research" </w:instrText>
      </w:r>
      <w:r w:rsidRPr="00157079">
        <w:fldChar w:fldCharType="end"/>
      </w:r>
      <w:r w:rsidRPr="00157079">
        <w:t>Recruitment Network</w:t>
      </w:r>
      <w:bookmarkEnd w:id="0"/>
      <w:bookmarkEnd w:id="1"/>
      <w:bookmarkEnd w:id="2"/>
      <w:r w:rsidRPr="00157079">
        <w:fldChar w:fldCharType="begin"/>
      </w:r>
      <w:r w:rsidRPr="00157079">
        <w:instrText xml:space="preserve"> XE "Network" </w:instrText>
      </w:r>
      <w:r w:rsidRPr="00157079">
        <w:fldChar w:fldCharType="end"/>
      </w:r>
    </w:p>
    <w:p w14:paraId="487ED0BE" w14:textId="77777777" w:rsidR="00286DC1" w:rsidRPr="002D119D" w:rsidRDefault="00286DC1" w:rsidP="002D119D">
      <w:pPr>
        <w:pStyle w:val="IDRCallout"/>
      </w:pPr>
      <w:r w:rsidRPr="00641F0D">
        <w:t xml:space="preserve">Networking </w:t>
      </w:r>
      <w:r>
        <w:t xml:space="preserve">creates a </w:t>
      </w:r>
      <w:r w:rsidRPr="00641F0D">
        <w:t xml:space="preserve">supportive system </w:t>
      </w:r>
      <w:r>
        <w:t>to share</w:t>
      </w:r>
      <w:r w:rsidRPr="00641F0D">
        <w:t xml:space="preserve"> information and services among individuals and </w:t>
      </w:r>
      <w:r>
        <w:t>groups having a common interest</w:t>
      </w:r>
      <w:r w:rsidR="002D119D">
        <w:t xml:space="preserve">. </w:t>
      </w:r>
      <w:r w:rsidRPr="003720B0">
        <w:t>(</w:t>
      </w:r>
      <w:r w:rsidRPr="001908CB">
        <w:t>National ID&amp;R Curriculum</w:t>
      </w:r>
      <w:r w:rsidRPr="000866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4A3B79" w:rsidRPr="00083260" w14:paraId="598BE6C7" w14:textId="77777777" w:rsidTr="00CD4747">
        <w:tc>
          <w:tcPr>
            <w:tcW w:w="8748" w:type="dxa"/>
            <w:shd w:val="clear" w:color="auto" w:fill="003065"/>
          </w:tcPr>
          <w:p w14:paraId="441AF73E" w14:textId="77777777" w:rsidR="004A3B79" w:rsidRPr="00083260" w:rsidRDefault="004A3B79" w:rsidP="00CD4747">
            <w:pPr>
              <w:pStyle w:val="ChLearningObjectives"/>
            </w:pPr>
            <w:bookmarkStart w:id="3" w:name="_Toc490665797"/>
            <w:bookmarkStart w:id="4" w:name="_Toc524948303"/>
            <w:bookmarkStart w:id="5" w:name="_Toc334607928"/>
            <w:bookmarkStart w:id="6" w:name="_Toc334799897"/>
            <w:r w:rsidRPr="002D2F34">
              <w:t>Chapter 4 Learning Objectives</w:t>
            </w:r>
            <w:bookmarkEnd w:id="3"/>
            <w:bookmarkEnd w:id="4"/>
          </w:p>
        </w:tc>
      </w:tr>
      <w:tr w:rsidR="004A3B79" w:rsidRPr="001B3C2E" w14:paraId="052C8913" w14:textId="77777777" w:rsidTr="00CD4747">
        <w:tc>
          <w:tcPr>
            <w:tcW w:w="8748" w:type="dxa"/>
            <w:shd w:val="clear" w:color="auto" w:fill="EBF5FF"/>
          </w:tcPr>
          <w:p w14:paraId="672157A7" w14:textId="77777777" w:rsidR="004A3B79" w:rsidRPr="001B3C2E" w:rsidRDefault="004A3B79" w:rsidP="00CD4747">
            <w:pPr>
              <w:pStyle w:val="LearningObjectivesSubhead"/>
            </w:pPr>
            <w:r w:rsidRPr="001B3C2E">
              <w:t>The recruiter will learn</w:t>
            </w:r>
            <w:r>
              <w:t xml:space="preserve"> how to</w:t>
            </w:r>
          </w:p>
        </w:tc>
      </w:tr>
      <w:tr w:rsidR="004A3B79" w:rsidRPr="00286DC1" w14:paraId="64B75E27" w14:textId="77777777" w:rsidTr="00CD4747">
        <w:tc>
          <w:tcPr>
            <w:tcW w:w="8748" w:type="dxa"/>
          </w:tcPr>
          <w:p w14:paraId="1893447E" w14:textId="77777777" w:rsidR="004A3B79" w:rsidRPr="00286DC1" w:rsidRDefault="004A3B79" w:rsidP="00CD4747">
            <w:pPr>
              <w:pStyle w:val="LearningObjectivesBullets"/>
            </w:pPr>
            <w:r w:rsidRPr="00232C42">
              <w:t>identify the local organizations and individuals who work most closely with the migratory community;</w:t>
            </w:r>
          </w:p>
        </w:tc>
      </w:tr>
      <w:tr w:rsidR="004A3B79" w:rsidRPr="00286DC1" w14:paraId="504EB79E" w14:textId="77777777" w:rsidTr="00CD4747">
        <w:tc>
          <w:tcPr>
            <w:tcW w:w="8748" w:type="dxa"/>
          </w:tcPr>
          <w:p w14:paraId="69A3E9D6" w14:textId="77777777" w:rsidR="004A3B79" w:rsidRPr="00286DC1" w:rsidRDefault="004A3B79" w:rsidP="00CD4747">
            <w:pPr>
              <w:pStyle w:val="LearningObjectivesBullets"/>
            </w:pPr>
            <w:r w:rsidRPr="00232C42">
              <w:t>develop profiles of key local employees, school staff, community organizations, and the migratory community;</w:t>
            </w:r>
          </w:p>
        </w:tc>
      </w:tr>
      <w:tr w:rsidR="004A3B79" w:rsidRPr="00286DC1" w14:paraId="19BA93E6" w14:textId="77777777" w:rsidTr="00CD4747">
        <w:tc>
          <w:tcPr>
            <w:tcW w:w="8748" w:type="dxa"/>
          </w:tcPr>
          <w:p w14:paraId="76E7126B" w14:textId="77777777" w:rsidR="004A3B79" w:rsidRPr="00286DC1" w:rsidRDefault="004A3B79" w:rsidP="00CD4747">
            <w:pPr>
              <w:pStyle w:val="LearningObjectivesBullets"/>
            </w:pPr>
            <w:r w:rsidRPr="00232C42">
              <w:t>determine the best way to build relationships with each of these key contacts (e.g., find out how they can be assisted, provide awareness training on the MEP);</w:t>
            </w:r>
            <w:r w:rsidRPr="00286DC1">
              <w:fldChar w:fldCharType="begin"/>
            </w:r>
            <w:r w:rsidRPr="00286DC1">
              <w:instrText xml:space="preserve"> XE "Migrant Education Program" </w:instrText>
            </w:r>
            <w:r w:rsidRPr="00286DC1">
              <w:fldChar w:fldCharType="end"/>
            </w:r>
          </w:p>
        </w:tc>
      </w:tr>
      <w:tr w:rsidR="004A3B79" w:rsidRPr="00286DC1" w14:paraId="1F1A9A97" w14:textId="77777777" w:rsidTr="00CD4747">
        <w:tc>
          <w:tcPr>
            <w:tcW w:w="8748" w:type="dxa"/>
          </w:tcPr>
          <w:p w14:paraId="25C8B027" w14:textId="77777777" w:rsidR="004A3B79" w:rsidRPr="00286DC1" w:rsidRDefault="004A3B79" w:rsidP="00CD4747">
            <w:pPr>
              <w:pStyle w:val="LearningObjectivesBullets"/>
            </w:pPr>
            <w:r w:rsidRPr="00232C42">
              <w:t>follow up regularly with key contacts, particularly when they provide leads on local migratory families (e.g., call or visit them, attend important meetings, send thank you notes);</w:t>
            </w:r>
          </w:p>
        </w:tc>
      </w:tr>
      <w:tr w:rsidR="004A3B79" w:rsidRPr="00286DC1" w14:paraId="2F9C4745" w14:textId="77777777" w:rsidTr="00CD4747">
        <w:trPr>
          <w:trHeight w:val="404"/>
        </w:trPr>
        <w:tc>
          <w:tcPr>
            <w:tcW w:w="8748" w:type="dxa"/>
          </w:tcPr>
          <w:p w14:paraId="5AA96533" w14:textId="77777777" w:rsidR="004A3B79" w:rsidRPr="00286DC1" w:rsidRDefault="004A3B79" w:rsidP="00CD4747">
            <w:pPr>
              <w:pStyle w:val="LearningObjectivesBullets"/>
            </w:pPr>
            <w:r w:rsidRPr="00232C42">
              <w:t>work with schools, community organizations, etc., to see if they will include pre-screening questions for the MEP as part of their enrollment or intake process; and</w:t>
            </w:r>
          </w:p>
        </w:tc>
      </w:tr>
      <w:tr w:rsidR="004A3B79" w:rsidRPr="00286DC1" w14:paraId="1D4E16CD" w14:textId="77777777" w:rsidTr="00CD4747">
        <w:trPr>
          <w:trHeight w:val="404"/>
        </w:trPr>
        <w:tc>
          <w:tcPr>
            <w:tcW w:w="8748" w:type="dxa"/>
          </w:tcPr>
          <w:p w14:paraId="1966F191" w14:textId="77777777" w:rsidR="004A3B79" w:rsidRPr="00232C42" w:rsidRDefault="004A3B79" w:rsidP="00CD4747">
            <w:pPr>
              <w:pStyle w:val="LearningObjectivesBullets"/>
            </w:pPr>
            <w:r w:rsidRPr="00232C42">
              <w:t>create a recruitment map that shows areas where migratory families are likely to live and work, services they use, and where their children go to school.</w:t>
            </w:r>
          </w:p>
        </w:tc>
      </w:tr>
    </w:tbl>
    <w:p w14:paraId="57CD891E" w14:textId="77777777" w:rsidR="00286DC1" w:rsidRPr="00641F0D" w:rsidRDefault="004A3B79" w:rsidP="00CC1821">
      <w:pPr>
        <w:pStyle w:val="OMEHeading2"/>
      </w:pPr>
      <w:r>
        <w:br/>
      </w:r>
      <w:bookmarkStart w:id="7" w:name="_Toc524948304"/>
      <w:r w:rsidR="00286DC1" w:rsidRPr="00653FE9">
        <w:t>Finding Migra</w:t>
      </w:r>
      <w:r w:rsidR="00286DC1">
        <w:t>tory</w:t>
      </w:r>
      <w:r w:rsidR="00286DC1" w:rsidRPr="00653FE9">
        <w:t xml:space="preserve"> Children</w:t>
      </w:r>
      <w:bookmarkEnd w:id="5"/>
      <w:bookmarkEnd w:id="6"/>
      <w:bookmarkEnd w:id="7"/>
      <w:r w:rsidR="00286DC1" w:rsidRPr="00653FE9">
        <w:fldChar w:fldCharType="begin"/>
      </w:r>
      <w:r w:rsidR="00286DC1" w:rsidRPr="00653FE9">
        <w:instrText xml:space="preserve"> XE "Youth" </w:instrText>
      </w:r>
      <w:r w:rsidR="00286DC1" w:rsidRPr="00653FE9">
        <w:fldChar w:fldCharType="end"/>
      </w:r>
    </w:p>
    <w:p w14:paraId="03122B27" w14:textId="77777777" w:rsidR="00286DC1" w:rsidRPr="00653FE9" w:rsidRDefault="00286DC1" w:rsidP="005514ED">
      <w:pPr>
        <w:pStyle w:val="IDRText"/>
      </w:pPr>
      <w:r w:rsidRPr="00653FE9">
        <w:t>The recruiter often finds locating migra</w:t>
      </w:r>
      <w:r>
        <w:t>tory</w:t>
      </w:r>
      <w:r w:rsidRPr="00653FE9">
        <w:t xml:space="preserve"> children</w:t>
      </w:r>
      <w:r w:rsidRPr="00653FE9">
        <w:fldChar w:fldCharType="begin"/>
      </w:r>
      <w:r w:rsidRPr="00653FE9">
        <w:instrText xml:space="preserve"> XE "Youth" </w:instrText>
      </w:r>
      <w:r w:rsidRPr="00653FE9">
        <w:fldChar w:fldCharType="end"/>
      </w:r>
      <w:r w:rsidRPr="00653FE9">
        <w:t xml:space="preserve"> to be the most time consuming and labor intensive ID&amp;R</w:t>
      </w:r>
      <w:r w:rsidRPr="00653FE9">
        <w:fldChar w:fldCharType="begin"/>
      </w:r>
      <w:r w:rsidRPr="00653FE9">
        <w:instrText xml:space="preserve"> XE "Identification and Recruitment" </w:instrText>
      </w:r>
      <w:r w:rsidRPr="00653FE9">
        <w:fldChar w:fldCharType="end"/>
      </w:r>
      <w:r w:rsidRPr="00653FE9">
        <w:t xml:space="preserve"> responsibility, particularly since the children </w:t>
      </w:r>
      <w:r w:rsidRPr="00653FE9">
        <w:fldChar w:fldCharType="begin"/>
      </w:r>
      <w:r w:rsidRPr="00653FE9">
        <w:instrText xml:space="preserve"> XE "Out-of-school youth" </w:instrText>
      </w:r>
      <w:r w:rsidRPr="00653FE9">
        <w:fldChar w:fldCharType="end"/>
      </w:r>
      <w:r w:rsidRPr="00653FE9">
        <w:t>who have the greatest needs are often the most difficult to find</w:t>
      </w:r>
      <w:r>
        <w:t xml:space="preserve">. </w:t>
      </w:r>
      <w:r w:rsidRPr="00653FE9">
        <w:t>While recruitment consists primarily of finding and interviewing families, it is by no means a simple task. The process is strenuous and requires many skills including communication and building effective relationships with migra</w:t>
      </w:r>
      <w:r>
        <w:t>tory</w:t>
      </w:r>
      <w:r w:rsidRPr="00653FE9">
        <w:t xml:space="preserve"> families and youth, the agricultural community, </w:t>
      </w:r>
      <w:r w:rsidRPr="00653FE9">
        <w:fldChar w:fldCharType="begin"/>
      </w:r>
      <w:r w:rsidRPr="00653FE9">
        <w:instrText xml:space="preserve"> XE "Community" </w:instrText>
      </w:r>
      <w:r w:rsidRPr="00653FE9">
        <w:fldChar w:fldCharType="end"/>
      </w:r>
      <w:r w:rsidRPr="00653FE9">
        <w:t>and service providers who work with migra</w:t>
      </w:r>
      <w:r>
        <w:t>tory</w:t>
      </w:r>
      <w:r w:rsidRPr="00653FE9">
        <w:t xml:space="preserve"> families</w:t>
      </w:r>
      <w:r>
        <w:t xml:space="preserve">. </w:t>
      </w:r>
      <w:r w:rsidRPr="00653FE9">
        <w:t>The recruiter should also learn how to approach key community leaders to make them aware of the MEP and to gain their respect</w:t>
      </w:r>
      <w:r>
        <w:t xml:space="preserve">. </w:t>
      </w:r>
      <w:r w:rsidRPr="00653FE9">
        <w:t>Over time, experienced recruiters recognize that migra</w:t>
      </w:r>
      <w:r>
        <w:t>tory</w:t>
      </w:r>
      <w:r w:rsidRPr="00653FE9">
        <w:t xml:space="preserve"> families, agricultural employers, and service providers who work with migra</w:t>
      </w:r>
      <w:r>
        <w:t>tory</w:t>
      </w:r>
      <w:r w:rsidRPr="00653FE9">
        <w:t xml:space="preserve"> families are helpful to the recruiter in locating other migra</w:t>
      </w:r>
      <w:r>
        <w:t>tory</w:t>
      </w:r>
      <w:r w:rsidRPr="00653FE9">
        <w:t xml:space="preserve"> families, children</w:t>
      </w:r>
      <w:r>
        <w:rPr>
          <w:lang w:val="en-US"/>
        </w:rPr>
        <w:t>,</w:t>
      </w:r>
      <w:r w:rsidRPr="00653FE9">
        <w:t xml:space="preserve"> and OSY</w:t>
      </w:r>
      <w:r>
        <w:t xml:space="preserve">. </w:t>
      </w:r>
      <w:r w:rsidRPr="00653FE9">
        <w:t>Building this level of personal trust and an awareness of the benefits of participating in the MEP should be every recruiter’s goal.</w:t>
      </w:r>
    </w:p>
    <w:p w14:paraId="6B0E362E" w14:textId="77777777" w:rsidR="00286DC1" w:rsidRPr="00653FE9" w:rsidRDefault="00286DC1" w:rsidP="00E22969">
      <w:pPr>
        <w:pStyle w:val="IDRText"/>
      </w:pPr>
      <w:r w:rsidRPr="00653FE9">
        <w:lastRenderedPageBreak/>
        <w:t>This chapter addresses the type of research</w:t>
      </w:r>
      <w:r w:rsidRPr="00653FE9">
        <w:fldChar w:fldCharType="begin"/>
      </w:r>
      <w:r w:rsidRPr="00653FE9">
        <w:instrText xml:space="preserve"> XE "Research" </w:instrText>
      </w:r>
      <w:r w:rsidRPr="00653FE9">
        <w:fldChar w:fldCharType="end"/>
      </w:r>
      <w:r w:rsidRPr="00653FE9">
        <w:t xml:space="preserve"> the recruiter and other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staff should conduct to learn about local</w:t>
      </w:r>
      <w:r w:rsidRPr="00653FE9">
        <w:fldChar w:fldCharType="begin"/>
      </w:r>
      <w:r w:rsidRPr="00653FE9">
        <w:instrText xml:space="preserve"> XE "Local" </w:instrText>
      </w:r>
      <w:r w:rsidRPr="00653FE9">
        <w:fldChar w:fldCharType="end"/>
      </w:r>
      <w:r w:rsidRPr="00653FE9">
        <w:t xml:space="preserve"> agricultural activities, farmworker labor, and organizations that serve the local migra</w:t>
      </w:r>
      <w:r>
        <w:t>tory</w:t>
      </w:r>
      <w:r w:rsidRPr="00653FE9">
        <w:t xml:space="preserve"> community</w:t>
      </w:r>
      <w:r w:rsidRPr="00653FE9">
        <w:fldChar w:fldCharType="begin"/>
      </w:r>
      <w:r w:rsidRPr="00653FE9">
        <w:instrText xml:space="preserve"> XE "Community" </w:instrText>
      </w:r>
      <w:r w:rsidRPr="00653FE9">
        <w:fldChar w:fldCharType="end"/>
      </w:r>
      <w:r>
        <w:t xml:space="preserve">. </w:t>
      </w:r>
      <w:r w:rsidRPr="00653FE9">
        <w:t>This information will help the recruiter and supervisor</w:t>
      </w:r>
      <w:r>
        <w:rPr>
          <w:lang w:val="en-US"/>
        </w:rPr>
        <w:t xml:space="preserve"> </w:t>
      </w:r>
      <w:r w:rsidRPr="00653FE9">
        <w:fldChar w:fldCharType="begin"/>
      </w:r>
      <w:r w:rsidRPr="00653FE9">
        <w:instrText xml:space="preserve"> XE "Supervisor" </w:instrText>
      </w:r>
      <w:r w:rsidRPr="00653FE9">
        <w:fldChar w:fldCharType="end"/>
      </w:r>
      <w:r>
        <w:t xml:space="preserve">determine </w:t>
      </w:r>
      <w:r w:rsidRPr="00653FE9">
        <w:t>the best way to identify and recruit eligible</w:t>
      </w:r>
      <w:r w:rsidRPr="00653FE9">
        <w:fldChar w:fldCharType="begin"/>
      </w:r>
      <w:r w:rsidRPr="00653FE9">
        <w:instrText xml:space="preserve"> XE "Eligibility" </w:instrText>
      </w:r>
      <w:r w:rsidRPr="00653FE9">
        <w:fldChar w:fldCharType="end"/>
      </w:r>
      <w:r w:rsidRPr="00653FE9">
        <w:t xml:space="preserve"> migra</w:t>
      </w:r>
      <w:r>
        <w:t>tory</w:t>
      </w:r>
      <w:r w:rsidRPr="00653FE9">
        <w:t xml:space="preserve"> children</w:t>
      </w:r>
      <w:r w:rsidRPr="00653FE9">
        <w:fldChar w:fldCharType="begin"/>
      </w:r>
      <w:r w:rsidRPr="00653FE9">
        <w:instrText xml:space="preserve"> XE "Youth" </w:instrText>
      </w:r>
      <w:r w:rsidRPr="00653FE9">
        <w:fldChar w:fldCharType="end"/>
      </w:r>
      <w:r>
        <w:t xml:space="preserve">. </w:t>
      </w:r>
    </w:p>
    <w:p w14:paraId="1B4179B4" w14:textId="77777777" w:rsidR="00286DC1" w:rsidRPr="00641F0D" w:rsidRDefault="00286DC1" w:rsidP="00CC1821">
      <w:pPr>
        <w:pStyle w:val="OMEHeading2"/>
      </w:pPr>
      <w:bookmarkStart w:id="8" w:name="_Toc334607929"/>
      <w:bookmarkStart w:id="9" w:name="_Toc334799898"/>
      <w:bookmarkStart w:id="10" w:name="_Toc524948305"/>
      <w:r w:rsidRPr="00653FE9">
        <w:t>Conducting Research</w:t>
      </w:r>
      <w:bookmarkEnd w:id="8"/>
      <w:bookmarkEnd w:id="9"/>
      <w:bookmarkEnd w:id="10"/>
      <w:r w:rsidRPr="00653FE9">
        <w:fldChar w:fldCharType="begin"/>
      </w:r>
      <w:r w:rsidRPr="00653FE9">
        <w:instrText xml:space="preserve"> XE "Research" </w:instrText>
      </w:r>
      <w:r w:rsidRPr="00653FE9">
        <w:fldChar w:fldCharType="end"/>
      </w:r>
    </w:p>
    <w:p w14:paraId="39E6A384" w14:textId="77777777" w:rsidR="00286DC1" w:rsidRPr="00653FE9" w:rsidRDefault="00286DC1" w:rsidP="005514ED">
      <w:pPr>
        <w:pStyle w:val="IDRText"/>
      </w:pPr>
      <w:r w:rsidRPr="00653FE9">
        <w:t xml:space="preserve">The </w:t>
      </w:r>
      <w:r w:rsidRPr="00653FE9">
        <w:fldChar w:fldCharType="begin"/>
      </w:r>
      <w:r w:rsidRPr="00653FE9">
        <w:instrText xml:space="preserve"> XE "Training" </w:instrText>
      </w:r>
      <w:r w:rsidRPr="00653FE9">
        <w:fldChar w:fldCharType="end"/>
      </w:r>
      <w:r w:rsidRPr="00653FE9">
        <w:t>value of developing key contacts within the migra</w:t>
      </w:r>
      <w:r>
        <w:t>tory</w:t>
      </w:r>
      <w:r w:rsidRPr="00653FE9">
        <w:t xml:space="preserve"> community cannot be overstated</w:t>
      </w:r>
      <w:r w:rsidRPr="00653FE9">
        <w:fldChar w:fldCharType="begin"/>
      </w:r>
      <w:r w:rsidRPr="00653FE9">
        <w:instrText xml:space="preserve"> XE "Community" </w:instrText>
      </w:r>
      <w:r w:rsidRPr="00653FE9">
        <w:fldChar w:fldCharType="end"/>
      </w:r>
      <w:r>
        <w:t xml:space="preserve">. </w:t>
      </w:r>
      <w:r w:rsidRPr="00653FE9">
        <w:t>As a starting point, the recruiter should learn as much as possible</w:t>
      </w:r>
      <w:r w:rsidRPr="00653FE9">
        <w:fldChar w:fldCharType="begin"/>
      </w:r>
      <w:r w:rsidRPr="00653FE9">
        <w:instrText xml:space="preserve"> XE "Learning" </w:instrText>
      </w:r>
      <w:r w:rsidRPr="00653FE9">
        <w:fldChar w:fldCharType="end"/>
      </w:r>
      <w:r w:rsidRPr="00653FE9">
        <w:t xml:space="preserve"> about his or her recruitment area</w:t>
      </w:r>
      <w:r>
        <w:t xml:space="preserve">. </w:t>
      </w:r>
      <w:r w:rsidRPr="00653FE9">
        <w:t>In particular, the recruiter should find out what is known about the local migra</w:t>
      </w:r>
      <w:r>
        <w:t>tory</w:t>
      </w:r>
      <w:r w:rsidRPr="00653FE9">
        <w:t xml:space="preserve"> community and which local people and organizations are trusted within that community</w:t>
      </w:r>
      <w:r w:rsidRPr="00653FE9">
        <w:fldChar w:fldCharType="begin"/>
      </w:r>
      <w:r w:rsidRPr="00653FE9">
        <w:instrText xml:space="preserve"> XE "Community" </w:instrText>
      </w:r>
      <w:r w:rsidRPr="00653FE9">
        <w:fldChar w:fldCharType="end"/>
      </w:r>
      <w:r>
        <w:t xml:space="preserve">. </w:t>
      </w:r>
      <w:r w:rsidRPr="00653FE9">
        <w:t>Local</w:t>
      </w:r>
      <w:r w:rsidRPr="00653FE9">
        <w:fldChar w:fldCharType="begin"/>
      </w:r>
      <w:r w:rsidRPr="00653FE9">
        <w:instrText xml:space="preserve"> XE "Local" </w:instrText>
      </w:r>
      <w:r w:rsidRPr="00653FE9">
        <w:fldChar w:fldCharType="end"/>
      </w:r>
      <w:r w:rsidRPr="00653FE9">
        <w:t xml:space="preserve"> people and organizations are the recruiter’s best sources of current and accurate information and referrals</w:t>
      </w:r>
      <w:r w:rsidRPr="00653FE9">
        <w:fldChar w:fldCharType="begin"/>
      </w:r>
      <w:r w:rsidRPr="00653FE9">
        <w:instrText xml:space="preserve"> XE "Referrals" </w:instrText>
      </w:r>
      <w:r w:rsidRPr="00653FE9">
        <w:fldChar w:fldCharType="end"/>
      </w:r>
      <w:r>
        <w:t xml:space="preserve">. </w:t>
      </w:r>
      <w:r w:rsidRPr="00653FE9">
        <w:t xml:space="preserve">Once the recruiter has identified these important contacts, the recruiter should determine how best to </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rsidRPr="00653FE9">
        <w:t>build strong working relationships, to exchange information on an ongoing basis, and to promote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p>
    <w:p w14:paraId="601BD079" w14:textId="77777777" w:rsidR="00286DC1" w:rsidRPr="00E22969" w:rsidRDefault="00286DC1" w:rsidP="005514ED">
      <w:pPr>
        <w:pStyle w:val="IDRText"/>
      </w:pPr>
      <w:r w:rsidRPr="00653FE9">
        <w:t xml:space="preserve">The recruiter may be instructed by </w:t>
      </w:r>
      <w:r>
        <w:t xml:space="preserve">his or her </w:t>
      </w:r>
      <w:r w:rsidRPr="00653FE9">
        <w:t>supervisor to “talk with farmers” or “go to the school</w:t>
      </w:r>
      <w:r w:rsidRPr="00653FE9">
        <w:fldChar w:fldCharType="begin"/>
      </w:r>
      <w:r w:rsidRPr="00653FE9">
        <w:instrText xml:space="preserve"> XE "School" </w:instrText>
      </w:r>
      <w:r w:rsidRPr="00653FE9">
        <w:fldChar w:fldCharType="end"/>
      </w:r>
      <w:r>
        <w:t xml:space="preserve">s.” </w:t>
      </w:r>
      <w:r w:rsidRPr="00653FE9">
        <w:t xml:space="preserve">But a new recruiter, or even a seasoned recruiter taking on a new territory, needs to know </w:t>
      </w:r>
      <w:r w:rsidRPr="009641C0">
        <w:rPr>
          <w:rStyle w:val="Emphasis"/>
        </w:rPr>
        <w:t>which</w:t>
      </w:r>
      <w:r w:rsidRPr="00653FE9">
        <w:t xml:space="preserve"> farms and schools are the most likely to have migra</w:t>
      </w:r>
      <w:r>
        <w:t>tory</w:t>
      </w:r>
      <w:r w:rsidRPr="00653FE9">
        <w:t xml:space="preserve"> children in order to be productive</w:t>
      </w:r>
      <w:r>
        <w:t xml:space="preserve">. </w:t>
      </w:r>
      <w:r w:rsidRPr="00653FE9">
        <w:t>Conducting basic research</w:t>
      </w:r>
      <w:r w:rsidRPr="00653FE9">
        <w:fldChar w:fldCharType="begin"/>
      </w:r>
      <w:r w:rsidRPr="00653FE9">
        <w:instrText xml:space="preserve"> XE "Research" </w:instrText>
      </w:r>
      <w:r w:rsidRPr="00653FE9">
        <w:fldChar w:fldCharType="end"/>
      </w:r>
      <w:r w:rsidRPr="00653FE9">
        <w:t xml:space="preserve"> will </w:t>
      </w:r>
      <w:r w:rsidRPr="00E22969">
        <w:t>help the recruiter find migratory children</w:t>
      </w:r>
      <w:r w:rsidRPr="00E22969">
        <w:fldChar w:fldCharType="begin"/>
      </w:r>
      <w:r w:rsidRPr="00E22969">
        <w:instrText xml:space="preserve"> XE "Youth" </w:instrText>
      </w:r>
      <w:r w:rsidRPr="00E22969">
        <w:fldChar w:fldCharType="end"/>
      </w:r>
      <w:r w:rsidRPr="00E22969">
        <w:t xml:space="preserve"> more quickly and efficiently. This is particularly true for those children who are not in school and are more difficult to identify, such as preschool children and OSY</w:t>
      </w:r>
      <w:r w:rsidRPr="00E22969">
        <w:fldChar w:fldCharType="begin"/>
      </w:r>
      <w:r w:rsidRPr="00E22969">
        <w:instrText xml:space="preserve"> XE "Out-of-school youth" </w:instrText>
      </w:r>
      <w:r w:rsidRPr="00E22969">
        <w:fldChar w:fldCharType="end"/>
      </w:r>
      <w:r w:rsidRPr="00E22969">
        <w:t xml:space="preserve">. </w:t>
      </w:r>
    </w:p>
    <w:p w14:paraId="2619A3C6" w14:textId="77777777" w:rsidR="00286DC1" w:rsidRPr="00A02550" w:rsidRDefault="00286DC1" w:rsidP="00E22969">
      <w:pPr>
        <w:pStyle w:val="IDRText"/>
      </w:pPr>
      <w:r w:rsidRPr="00653FE9">
        <w:t>Some key questions the recruiter should try to answer through this research</w:t>
      </w:r>
      <w:r w:rsidRPr="00653FE9">
        <w:fldChar w:fldCharType="begin"/>
      </w:r>
      <w:r w:rsidRPr="00653FE9">
        <w:instrText xml:space="preserve"> XE "Research" </w:instrText>
      </w:r>
      <w:r w:rsidRPr="00653FE9">
        <w:fldChar w:fldCharType="end"/>
      </w:r>
      <w:r w:rsidRPr="00653FE9">
        <w:t xml:space="preserve"> include </w:t>
      </w:r>
    </w:p>
    <w:p w14:paraId="40ACB966" w14:textId="77777777" w:rsidR="00286DC1" w:rsidRPr="00653FE9" w:rsidRDefault="00286DC1" w:rsidP="005514ED">
      <w:pPr>
        <w:pStyle w:val="IDRListParagraph"/>
      </w:pPr>
      <w:r w:rsidRPr="00653FE9">
        <w:t>What is already known about migra</w:t>
      </w:r>
      <w:r>
        <w:t>tory</w:t>
      </w:r>
      <w:r w:rsidRPr="00653FE9">
        <w:t xml:space="preserve"> workers in my local</w:t>
      </w:r>
      <w:r w:rsidRPr="00653FE9">
        <w:fldChar w:fldCharType="begin"/>
      </w:r>
      <w:r w:rsidRPr="00653FE9">
        <w:instrText xml:space="preserve"> XE "Local" </w:instrText>
      </w:r>
      <w:r w:rsidRPr="00653FE9">
        <w:fldChar w:fldCharType="end"/>
      </w:r>
      <w:r w:rsidRPr="00653FE9">
        <w:t xml:space="preserve"> area?</w:t>
      </w:r>
    </w:p>
    <w:p w14:paraId="3D51490F" w14:textId="77777777" w:rsidR="00286DC1" w:rsidRPr="00653FE9" w:rsidRDefault="00286DC1" w:rsidP="005514ED">
      <w:pPr>
        <w:pStyle w:val="IDRListParagraph"/>
      </w:pPr>
      <w:r w:rsidRPr="00653FE9">
        <w:t>Who are the local</w:t>
      </w:r>
      <w:r w:rsidRPr="00653FE9">
        <w:fldChar w:fldCharType="begin"/>
      </w:r>
      <w:r w:rsidRPr="00653FE9">
        <w:instrText xml:space="preserve"> XE "Local" </w:instrText>
      </w:r>
      <w:r w:rsidRPr="00653FE9">
        <w:fldChar w:fldCharType="end"/>
      </w:r>
      <w:r w:rsidRPr="00653FE9">
        <w:t xml:space="preserve"> agricultural and fishing</w:t>
      </w:r>
      <w:r w:rsidRPr="00653FE9">
        <w:fldChar w:fldCharType="begin"/>
      </w:r>
      <w:r w:rsidRPr="00653FE9">
        <w:instrText xml:space="preserve"> XE "Fishing Activity" </w:instrText>
      </w:r>
      <w:r w:rsidRPr="00653FE9">
        <w:fldChar w:fldCharType="end"/>
      </w:r>
      <w:r w:rsidRPr="00653FE9">
        <w:t xml:space="preserve"> employers? </w:t>
      </w:r>
    </w:p>
    <w:p w14:paraId="726C9778" w14:textId="77777777" w:rsidR="00233D5A" w:rsidRDefault="00286DC1" w:rsidP="005514ED">
      <w:pPr>
        <w:pStyle w:val="IDRListParagraph"/>
      </w:pPr>
      <w:r w:rsidRPr="00653FE9">
        <w:t>What are the employers’ work activities (</w:t>
      </w:r>
      <w:r>
        <w:t>e.g.,</w:t>
      </w:r>
      <w:r w:rsidRPr="00653FE9">
        <w:t xml:space="preserve"> p</w:t>
      </w:r>
      <w:r w:rsidR="00233D5A">
        <w:t>acking freshly picked apples)?</w:t>
      </w:r>
    </w:p>
    <w:p w14:paraId="4AFBBA53" w14:textId="77777777" w:rsidR="00286DC1" w:rsidRPr="00653FE9" w:rsidRDefault="00286DC1" w:rsidP="005514ED">
      <w:pPr>
        <w:pStyle w:val="IDRListParagraph"/>
      </w:pPr>
      <w:r w:rsidRPr="00653FE9">
        <w:t>Which of their jobs are temporary</w:t>
      </w:r>
      <w:r w:rsidRPr="00653FE9">
        <w:fldChar w:fldCharType="begin"/>
      </w:r>
      <w:r w:rsidRPr="00653FE9">
        <w:instrText xml:space="preserve"> XE "Temporary" </w:instrText>
      </w:r>
      <w:r w:rsidRPr="00653FE9">
        <w:fldChar w:fldCharType="end"/>
      </w:r>
      <w:r w:rsidRPr="00653FE9">
        <w:t xml:space="preserve"> or seasonal</w:t>
      </w:r>
      <w:r w:rsidRPr="00653FE9">
        <w:fldChar w:fldCharType="begin"/>
      </w:r>
      <w:r w:rsidRPr="00653FE9">
        <w:instrText xml:space="preserve"> XE "Seasonal" </w:instrText>
      </w:r>
      <w:r w:rsidRPr="00653FE9">
        <w:fldChar w:fldCharType="end"/>
      </w:r>
      <w:r w:rsidRPr="00653FE9">
        <w:t xml:space="preserve">? </w:t>
      </w:r>
    </w:p>
    <w:p w14:paraId="3627D300" w14:textId="77777777" w:rsidR="00286DC1" w:rsidRPr="00653FE9" w:rsidRDefault="00286DC1" w:rsidP="005514ED">
      <w:pPr>
        <w:pStyle w:val="IDRListParagraph"/>
      </w:pPr>
      <w:r w:rsidRPr="00653FE9">
        <w:t>Which employers hire migra</w:t>
      </w:r>
      <w:r>
        <w:t>tory</w:t>
      </w:r>
      <w:r w:rsidRPr="00653FE9">
        <w:t xml:space="preserve"> workers (</w:t>
      </w:r>
      <w:r>
        <w:t>i.e.,</w:t>
      </w:r>
      <w:r>
        <w:rPr>
          <w:lang w:val="en-US"/>
        </w:rPr>
        <w:t xml:space="preserve"> </w:t>
      </w:r>
      <w:r w:rsidRPr="00653FE9">
        <w:t>workers who have moved to this community</w:t>
      </w:r>
      <w:r w:rsidRPr="00653FE9">
        <w:fldChar w:fldCharType="begin"/>
      </w:r>
      <w:r w:rsidRPr="00653FE9">
        <w:instrText xml:space="preserve"> XE "Community" </w:instrText>
      </w:r>
      <w:r w:rsidRPr="00653FE9">
        <w:fldChar w:fldCharType="end"/>
      </w:r>
      <w:r w:rsidRPr="00653FE9">
        <w:t xml:space="preserve"> to do this type of work)?</w:t>
      </w:r>
    </w:p>
    <w:p w14:paraId="30D68077" w14:textId="77777777" w:rsidR="00286DC1" w:rsidRPr="00653FE9" w:rsidRDefault="00286DC1" w:rsidP="005514ED">
      <w:pPr>
        <w:pStyle w:val="IDRListParagraph"/>
      </w:pPr>
      <w:r w:rsidRPr="00653FE9">
        <w:t>Where are the employers located?</w:t>
      </w:r>
    </w:p>
    <w:p w14:paraId="300B2A6D" w14:textId="77777777" w:rsidR="00286DC1" w:rsidRPr="00653FE9" w:rsidRDefault="00286DC1" w:rsidP="005514ED">
      <w:pPr>
        <w:pStyle w:val="IDRListParagraph"/>
      </w:pPr>
      <w:r w:rsidRPr="00653FE9">
        <w:t>Where do the migra</w:t>
      </w:r>
      <w:r>
        <w:t>tory</w:t>
      </w:r>
      <w:r w:rsidRPr="00653FE9">
        <w:t xml:space="preserve"> families who work for these employers reside in the local</w:t>
      </w:r>
      <w:r w:rsidRPr="00653FE9">
        <w:fldChar w:fldCharType="begin"/>
      </w:r>
      <w:r w:rsidRPr="00653FE9">
        <w:instrText xml:space="preserve"> XE "Local" </w:instrText>
      </w:r>
      <w:r w:rsidRPr="00653FE9">
        <w:fldChar w:fldCharType="end"/>
      </w:r>
      <w:r w:rsidRPr="00653FE9">
        <w:t xml:space="preserve"> area (</w:t>
      </w:r>
      <w:r>
        <w:t>e.g.,</w:t>
      </w:r>
      <w:r w:rsidRPr="00653FE9">
        <w:t xml:space="preserve"> migra</w:t>
      </w:r>
      <w:r>
        <w:t>tory</w:t>
      </w:r>
      <w:r w:rsidRPr="00653FE9">
        <w:t xml:space="preserve"> labor camps, inexpensive apartments, trailer parks)?</w:t>
      </w:r>
    </w:p>
    <w:p w14:paraId="37675F3B" w14:textId="77777777" w:rsidR="00286DC1" w:rsidRPr="00653FE9" w:rsidRDefault="00286DC1" w:rsidP="005514ED">
      <w:pPr>
        <w:pStyle w:val="IDRListParagraph"/>
      </w:pPr>
      <w:r w:rsidRPr="00653FE9">
        <w:t>Where do the migra</w:t>
      </w:r>
      <w:r>
        <w:t>tory</w:t>
      </w:r>
      <w:r w:rsidRPr="00653FE9">
        <w:t xml:space="preserve"> workers in the area come from (</w:t>
      </w:r>
      <w:r>
        <w:t>i.e.,</w:t>
      </w:r>
      <w:r>
        <w:rPr>
          <w:lang w:val="en-US"/>
        </w:rPr>
        <w:t xml:space="preserve"> </w:t>
      </w:r>
      <w:r w:rsidRPr="00653FE9">
        <w:t>where do they consider their home base to be)?</w:t>
      </w:r>
    </w:p>
    <w:p w14:paraId="13BD26CA" w14:textId="77777777" w:rsidR="00286DC1" w:rsidRPr="00653FE9" w:rsidRDefault="00286DC1" w:rsidP="005514ED">
      <w:pPr>
        <w:pStyle w:val="IDRListParagraph"/>
      </w:pPr>
      <w:r w:rsidRPr="00653FE9">
        <w:t>When do migra</w:t>
      </w:r>
      <w:r>
        <w:t>tory</w:t>
      </w:r>
      <w:r w:rsidRPr="00653FE9">
        <w:t xml:space="preserve"> workers leave the area (</w:t>
      </w:r>
      <w:r>
        <w:t>i.e.,</w:t>
      </w:r>
      <w:r w:rsidR="00251E14">
        <w:t xml:space="preserve"> what time of year)? </w:t>
      </w:r>
      <w:r w:rsidRPr="00653FE9">
        <w:t>Do they look for temporary</w:t>
      </w:r>
      <w:r w:rsidRPr="00653FE9">
        <w:fldChar w:fldCharType="begin"/>
      </w:r>
      <w:r w:rsidRPr="00653FE9">
        <w:instrText xml:space="preserve"> XE "Temporary" </w:instrText>
      </w:r>
      <w:r w:rsidRPr="00653FE9">
        <w:fldChar w:fldCharType="end"/>
      </w:r>
      <w:r w:rsidRPr="00653FE9">
        <w:t xml:space="preserve"> or seasonal</w:t>
      </w:r>
      <w:r w:rsidRPr="00653FE9">
        <w:fldChar w:fldCharType="begin"/>
      </w:r>
      <w:r w:rsidRPr="00653FE9">
        <w:instrText xml:space="preserve"> XE "Seasonal" </w:instrText>
      </w:r>
      <w:r w:rsidRPr="00653FE9">
        <w:fldChar w:fldCharType="end"/>
      </w:r>
      <w:r w:rsidRPr="00653FE9">
        <w:t xml:space="preserve"> employment</w:t>
      </w:r>
      <w:r w:rsidRPr="00653FE9">
        <w:fldChar w:fldCharType="begin"/>
      </w:r>
      <w:r w:rsidRPr="00653FE9">
        <w:instrText xml:space="preserve"> XE "Employment" </w:instrText>
      </w:r>
      <w:r w:rsidRPr="00653FE9">
        <w:fldChar w:fldCharType="end"/>
      </w:r>
      <w:r w:rsidRPr="00653FE9">
        <w:t xml:space="preserve"> in agriculture and fishing</w:t>
      </w:r>
      <w:r w:rsidRPr="00653FE9">
        <w:fldChar w:fldCharType="begin"/>
      </w:r>
      <w:r w:rsidRPr="00653FE9">
        <w:instrText xml:space="preserve"> XE "Fishing Activity" </w:instrText>
      </w:r>
      <w:r w:rsidRPr="00653FE9">
        <w:fldChar w:fldCharType="end"/>
      </w:r>
      <w:r w:rsidRPr="00653FE9">
        <w:t xml:space="preserve"> in other places? When do they return? </w:t>
      </w:r>
    </w:p>
    <w:p w14:paraId="5A85CA61" w14:textId="77777777" w:rsidR="00286DC1" w:rsidRPr="00653FE9" w:rsidRDefault="00286DC1" w:rsidP="005514ED">
      <w:pPr>
        <w:pStyle w:val="IDRListParagraph"/>
      </w:pPr>
      <w:r w:rsidRPr="00653FE9">
        <w:t>Where do migra</w:t>
      </w:r>
      <w:r>
        <w:t>tory</w:t>
      </w:r>
      <w:r w:rsidRPr="00653FE9">
        <w:t xml:space="preserve"> workers go to seek employment</w:t>
      </w:r>
      <w:r w:rsidRPr="00653FE9">
        <w:fldChar w:fldCharType="begin"/>
      </w:r>
      <w:r w:rsidRPr="00653FE9">
        <w:instrText xml:space="preserve"> XE "Employment" </w:instrText>
      </w:r>
      <w:r w:rsidRPr="00653FE9">
        <w:fldChar w:fldCharType="end"/>
      </w:r>
      <w:r w:rsidRPr="00653FE9">
        <w:t>?</w:t>
      </w:r>
    </w:p>
    <w:p w14:paraId="59B1D184" w14:textId="77777777" w:rsidR="00286DC1" w:rsidRPr="00653FE9" w:rsidRDefault="00286DC1" w:rsidP="005514ED">
      <w:pPr>
        <w:pStyle w:val="IDRListParagraph"/>
        <w:spacing w:after="0"/>
      </w:pPr>
      <w:r w:rsidRPr="00653FE9">
        <w:lastRenderedPageBreak/>
        <w:t>What type of seasonal</w:t>
      </w:r>
      <w:r w:rsidRPr="00653FE9">
        <w:fldChar w:fldCharType="begin"/>
      </w:r>
      <w:r w:rsidRPr="00653FE9">
        <w:instrText xml:space="preserve"> XE "Seasonal" </w:instrText>
      </w:r>
      <w:r w:rsidRPr="00653FE9">
        <w:fldChar w:fldCharType="end"/>
      </w:r>
      <w:r w:rsidRPr="00653FE9">
        <w:t xml:space="preserve"> or temporary</w:t>
      </w:r>
      <w:r w:rsidRPr="00653FE9">
        <w:fldChar w:fldCharType="begin"/>
      </w:r>
      <w:r w:rsidRPr="00653FE9">
        <w:instrText xml:space="preserve"> XE "Temporary" </w:instrText>
      </w:r>
      <w:r w:rsidRPr="00653FE9">
        <w:fldChar w:fldCharType="end"/>
      </w:r>
      <w:r w:rsidRPr="00653FE9">
        <w:t xml:space="preserve"> employment</w:t>
      </w:r>
      <w:r w:rsidRPr="00653FE9">
        <w:fldChar w:fldCharType="begin"/>
      </w:r>
      <w:r w:rsidRPr="00653FE9">
        <w:instrText xml:space="preserve"> XE "Employment" </w:instrText>
      </w:r>
      <w:r w:rsidRPr="00653FE9">
        <w:fldChar w:fldCharType="end"/>
      </w:r>
      <w:r w:rsidRPr="00653FE9">
        <w:t xml:space="preserve"> do they seek?</w:t>
      </w:r>
    </w:p>
    <w:p w14:paraId="15BF8C79" w14:textId="77777777" w:rsidR="00286DC1" w:rsidRPr="00653FE9" w:rsidRDefault="00286DC1" w:rsidP="005514ED">
      <w:pPr>
        <w:pStyle w:val="IDRText"/>
      </w:pPr>
      <w:r w:rsidRPr="00653FE9">
        <w:t>This type of information can be found through a number of sources including websites and the field offices of federal</w:t>
      </w:r>
      <w:r w:rsidRPr="00653FE9">
        <w:fldChar w:fldCharType="begin"/>
      </w:r>
      <w:r w:rsidRPr="00653FE9">
        <w:instrText xml:space="preserve"> XE “Federal" </w:instrText>
      </w:r>
      <w:r w:rsidRPr="00653FE9">
        <w:fldChar w:fldCharType="end"/>
      </w:r>
      <w:r w:rsidRPr="00653FE9">
        <w:fldChar w:fldCharType="begin"/>
      </w:r>
      <w:r w:rsidRPr="00653FE9">
        <w:instrText xml:space="preserve"> XE "federal" </w:instrText>
      </w:r>
      <w:r w:rsidRPr="00653FE9">
        <w:fldChar w:fldCharType="end"/>
      </w:r>
      <w:r w:rsidRPr="00653FE9">
        <w:t>, state</w:t>
      </w:r>
      <w:r w:rsidRPr="00653FE9">
        <w:fldChar w:fldCharType="begin"/>
      </w:r>
      <w:r w:rsidRPr="00653FE9">
        <w:instrText xml:space="preserve"> XE "State" </w:instrText>
      </w:r>
      <w:r w:rsidRPr="00653FE9">
        <w:fldChar w:fldCharType="end"/>
      </w:r>
      <w:r w:rsidRPr="00653FE9">
        <w:t>, and local</w:t>
      </w:r>
      <w:r w:rsidRPr="00653FE9">
        <w:fldChar w:fldCharType="begin"/>
      </w:r>
      <w:r w:rsidRPr="00653FE9">
        <w:instrText xml:space="preserve"> XE "Local" </w:instrText>
      </w:r>
      <w:r w:rsidRPr="00653FE9">
        <w:fldChar w:fldCharType="end"/>
      </w:r>
      <w:r w:rsidRPr="00653FE9">
        <w:t xml:space="preserve"> agencies that focus on agriculture, fishing</w:t>
      </w:r>
      <w:r w:rsidRPr="00653FE9">
        <w:fldChar w:fldCharType="begin"/>
      </w:r>
      <w:r w:rsidRPr="00653FE9">
        <w:instrText xml:space="preserve"> XE "Fishing Activity" </w:instrText>
      </w:r>
      <w:r w:rsidRPr="00653FE9">
        <w:fldChar w:fldCharType="end"/>
      </w:r>
      <w:r w:rsidRPr="00653FE9">
        <w:t>, labor, and housing issues</w:t>
      </w:r>
      <w:r>
        <w:t xml:space="preserve">. </w:t>
      </w:r>
      <w:r w:rsidRPr="00653FE9">
        <w:t>LEAs and community</w:t>
      </w:r>
      <w:r w:rsidRPr="00653FE9">
        <w:fldChar w:fldCharType="begin"/>
      </w:r>
      <w:r w:rsidRPr="00653FE9">
        <w:instrText xml:space="preserve"> XE "Community" </w:instrText>
      </w:r>
      <w:r w:rsidRPr="00653FE9">
        <w:fldChar w:fldCharType="end"/>
      </w:r>
      <w:r w:rsidRPr="00653FE9">
        <w:t xml:space="preserve"> organizations that work with migra</w:t>
      </w:r>
      <w:r>
        <w:t>tory</w:t>
      </w:r>
      <w:r w:rsidRPr="00653FE9">
        <w:t xml:space="preserve"> families are also good information sources</w:t>
      </w:r>
      <w:r>
        <w:t xml:space="preserve">. </w:t>
      </w:r>
    </w:p>
    <w:p w14:paraId="707CB76D" w14:textId="77777777" w:rsidR="00286DC1" w:rsidRPr="00653FE9" w:rsidRDefault="00286DC1" w:rsidP="005514ED">
      <w:pPr>
        <w:pStyle w:val="IDRText"/>
      </w:pPr>
      <w:r w:rsidRPr="00653FE9">
        <w:t xml:space="preserve">Some general </w:t>
      </w:r>
      <w:r>
        <w:rPr>
          <w:lang w:val="en-US"/>
        </w:rPr>
        <w:t>Internet</w:t>
      </w:r>
      <w:r w:rsidRPr="00653FE9">
        <w:t xml:space="preserve"> sites can be helpful resources for a recruiter</w:t>
      </w:r>
      <w:r>
        <w:t xml:space="preserve">. </w:t>
      </w:r>
      <w:r w:rsidRPr="00653FE9">
        <w:t xml:space="preserve">For example, a recruiter can go to an </w:t>
      </w:r>
      <w:r>
        <w:t>Internet</w:t>
      </w:r>
      <w:r w:rsidRPr="00653FE9">
        <w:t xml:space="preserve"> mapping service</w:t>
      </w:r>
      <w:r>
        <w:t xml:space="preserve">, such as </w:t>
      </w:r>
      <w:r w:rsidRPr="007738CE">
        <w:t>Google Maps</w:t>
      </w:r>
      <w:r w:rsidRPr="00653FE9">
        <w:t xml:space="preserve"> (</w:t>
      </w:r>
      <w:hyperlink r:id="rId11" w:history="1">
        <w:r w:rsidR="009B2657">
          <w:rPr>
            <w:rStyle w:val="Hyperlink"/>
          </w:rPr>
          <w:t>https://maps.google.com</w:t>
        </w:r>
      </w:hyperlink>
      <w:r w:rsidR="009B2657">
        <w:t xml:space="preserve">) </w:t>
      </w:r>
      <w:r>
        <w:t xml:space="preserve">or </w:t>
      </w:r>
      <w:r w:rsidRPr="007738CE">
        <w:t>Map Quest</w:t>
      </w:r>
      <w:r>
        <w:t xml:space="preserve"> (</w:t>
      </w:r>
      <w:hyperlink r:id="rId12" w:history="1">
        <w:r w:rsidR="0017588E" w:rsidRPr="003F1FEC">
          <w:rPr>
            <w:rStyle w:val="Hyperlink"/>
          </w:rPr>
          <w:t>http</w:t>
        </w:r>
        <w:r w:rsidR="0017588E" w:rsidRPr="003F1FEC">
          <w:rPr>
            <w:rStyle w:val="Hyperlink"/>
            <w:lang w:val="en-US"/>
          </w:rPr>
          <w:t>s</w:t>
        </w:r>
        <w:r w:rsidR="0017588E" w:rsidRPr="003F1FEC">
          <w:rPr>
            <w:rStyle w:val="Hyperlink"/>
          </w:rPr>
          <w:t>://www.mapquest.com</w:t>
        </w:r>
      </w:hyperlink>
      <w:r w:rsidRPr="0017588E">
        <w:t>)</w:t>
      </w:r>
      <w:r>
        <w:t xml:space="preserve">, </w:t>
      </w:r>
      <w:r w:rsidRPr="00653FE9">
        <w:t>and enter the name of a local</w:t>
      </w:r>
      <w:r w:rsidRPr="00653FE9">
        <w:fldChar w:fldCharType="begin"/>
      </w:r>
      <w:r w:rsidRPr="00653FE9">
        <w:instrText xml:space="preserve"> XE "Local" </w:instrText>
      </w:r>
      <w:r w:rsidRPr="00653FE9">
        <w:fldChar w:fldCharType="end"/>
      </w:r>
      <w:r w:rsidRPr="00653FE9">
        <w:t xml:space="preserve"> town and state</w:t>
      </w:r>
      <w:r w:rsidRPr="00653FE9">
        <w:fldChar w:fldCharType="begin"/>
      </w:r>
      <w:r w:rsidRPr="00653FE9">
        <w:instrText xml:space="preserve"> XE "State" </w:instrText>
      </w:r>
      <w:r w:rsidRPr="00653FE9">
        <w:fldChar w:fldCharType="end"/>
      </w:r>
      <w:r w:rsidRPr="00653FE9">
        <w:t xml:space="preserve"> and a search word (</w:t>
      </w:r>
      <w:r>
        <w:t>e.g.,</w:t>
      </w:r>
      <w:r w:rsidRPr="00653FE9">
        <w:t xml:space="preserve"> </w:t>
      </w:r>
      <w:r>
        <w:t xml:space="preserve">migratory, </w:t>
      </w:r>
      <w:r w:rsidRPr="00653FE9">
        <w:t>migrant, orchard, farm, nursery, name of a specific crop</w:t>
      </w:r>
      <w:r w:rsidRPr="00653FE9">
        <w:fldChar w:fldCharType="begin"/>
      </w:r>
      <w:r w:rsidRPr="00653FE9">
        <w:instrText xml:space="preserve"> XE "Crop" </w:instrText>
      </w:r>
      <w:r w:rsidRPr="00653FE9">
        <w:fldChar w:fldCharType="end"/>
      </w:r>
      <w:r>
        <w:t xml:space="preserve">, </w:t>
      </w:r>
      <w:r w:rsidRPr="00653FE9">
        <w:t>laundromat)</w:t>
      </w:r>
      <w:r>
        <w:t xml:space="preserve">. </w:t>
      </w:r>
      <w:r w:rsidRPr="00653FE9">
        <w:t>The mapping service will provide names and addresses of businesses or organizations related to the search word along with a map that indicates where each is located</w:t>
      </w:r>
      <w:r>
        <w:t xml:space="preserve">. </w:t>
      </w:r>
      <w:r w:rsidRPr="00653FE9">
        <w:t xml:space="preserve">More information on using electronic tools to recruit is discussed later in this chapter and a list of resources that the recruiter can use is found in </w:t>
      </w:r>
      <w:r w:rsidRPr="007738CE">
        <w:t xml:space="preserve">Appendix II </w:t>
      </w:r>
      <w:r w:rsidRPr="00653FE9">
        <w:t>of this manual</w:t>
      </w:r>
      <w:r>
        <w:t xml:space="preserve">. </w:t>
      </w:r>
    </w:p>
    <w:p w14:paraId="7B95B6A6" w14:textId="77777777" w:rsidR="00286DC1" w:rsidRPr="00E22969" w:rsidRDefault="00286DC1" w:rsidP="00E22969">
      <w:pPr>
        <w:pStyle w:val="IDRText"/>
      </w:pPr>
      <w:r w:rsidRPr="00653FE9">
        <w:t>In some communities migration patterns are so well established that the local</w:t>
      </w:r>
      <w:r w:rsidRPr="00653FE9">
        <w:fldChar w:fldCharType="begin"/>
      </w:r>
      <w:r w:rsidRPr="00653FE9">
        <w:instrText xml:space="preserve"> XE "Local" </w:instrText>
      </w:r>
      <w:r w:rsidRPr="00653FE9">
        <w:fldChar w:fldCharType="end"/>
      </w:r>
      <w:r w:rsidRPr="00653FE9">
        <w:t xml:space="preserv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staff know in which residences migra</w:t>
      </w:r>
      <w:r>
        <w:t>tory</w:t>
      </w:r>
      <w:r w:rsidRPr="00653FE9">
        <w:t xml:space="preserve"> families and youth</w:t>
      </w:r>
      <w:r w:rsidRPr="00653FE9">
        <w:fldChar w:fldCharType="begin"/>
      </w:r>
      <w:r w:rsidRPr="00653FE9">
        <w:instrText xml:space="preserve"> XE "Out-of-school youth" </w:instrText>
      </w:r>
      <w:r w:rsidRPr="00653FE9">
        <w:fldChar w:fldCharType="end"/>
      </w:r>
      <w:r w:rsidRPr="00653FE9">
        <w:t xml:space="preserve"> live and which employers hire them</w:t>
      </w:r>
      <w:r>
        <w:t xml:space="preserve">. </w:t>
      </w:r>
      <w:r w:rsidRPr="00653FE9">
        <w:t>In these areas, the MEP staff can often share successful, time-tested methods for finding and enrolling migra</w:t>
      </w:r>
      <w:r>
        <w:t>tory</w:t>
      </w:r>
      <w:r w:rsidRPr="00653FE9">
        <w:t xml:space="preserve"> children</w:t>
      </w:r>
      <w:r w:rsidRPr="00653FE9">
        <w:fldChar w:fldCharType="begin"/>
      </w:r>
      <w:r w:rsidRPr="00653FE9">
        <w:instrText xml:space="preserve"> XE "Youth" </w:instrText>
      </w:r>
      <w:r w:rsidRPr="00653FE9">
        <w:fldChar w:fldCharType="end"/>
      </w:r>
      <w:r>
        <w:t xml:space="preserve">. </w:t>
      </w:r>
      <w:r w:rsidRPr="00653FE9">
        <w:t>Also, many MEPs have recruitment databases that contain helpful information including a list of employers in the area who hire temporary and seasonal migra</w:t>
      </w:r>
      <w:r>
        <w:t>tory</w:t>
      </w:r>
      <w:r w:rsidRPr="00653FE9">
        <w:t xml:space="preserve"> workers, approximate dates of workers’ arrivals, the jobs conducted by workers, and their housing unit locations</w:t>
      </w:r>
      <w:r>
        <w:t xml:space="preserve">. </w:t>
      </w:r>
      <w:r w:rsidRPr="00653FE9">
        <w:t>While recruiters in areas that receive migra</w:t>
      </w:r>
      <w:r>
        <w:t>tory</w:t>
      </w:r>
      <w:r w:rsidRPr="00653FE9">
        <w:t xml:space="preserve"> workers may first go to the local migra</w:t>
      </w:r>
      <w:r>
        <w:t>tory</w:t>
      </w:r>
      <w:r w:rsidRPr="00653FE9">
        <w:t xml:space="preserve"> labor camps to interview families, the recruiter should also look outside of traditional locales because migration, employment</w:t>
      </w:r>
      <w:r w:rsidRPr="00653FE9">
        <w:fldChar w:fldCharType="begin"/>
      </w:r>
      <w:r w:rsidRPr="00653FE9">
        <w:instrText xml:space="preserve"> XE "Employment" </w:instrText>
      </w:r>
      <w:r w:rsidRPr="00653FE9">
        <w:fldChar w:fldCharType="end"/>
      </w:r>
      <w:r w:rsidRPr="00653FE9">
        <w:t>, and housing patterns may change over time</w:t>
      </w:r>
      <w:r>
        <w:t xml:space="preserve">. </w:t>
      </w:r>
      <w:r w:rsidRPr="00653FE9">
        <w:t>Although a specific approach and strategy may have been successful in the past, this does not mean it will always be successful</w:t>
      </w:r>
      <w:r>
        <w:t xml:space="preserve">. </w:t>
      </w:r>
      <w:r w:rsidRPr="00653FE9">
        <w:t>It is important for the recruiter to continually conduct new research to find all eligible</w:t>
      </w:r>
      <w:r w:rsidRPr="00653FE9">
        <w:fldChar w:fldCharType="begin"/>
      </w:r>
      <w:r w:rsidRPr="00653FE9">
        <w:instrText xml:space="preserve"> XE "Eligibility" </w:instrText>
      </w:r>
      <w:r w:rsidRPr="00653FE9">
        <w:fldChar w:fldCharType="end"/>
      </w:r>
      <w:r w:rsidRPr="00653FE9">
        <w:t xml:space="preserve"> migra</w:t>
      </w:r>
      <w:r>
        <w:t>tory</w:t>
      </w:r>
      <w:r w:rsidRPr="00653FE9">
        <w:t xml:space="preserve"> children in the recruitment area. </w:t>
      </w:r>
      <w:r w:rsidRPr="00653FE9">
        <w:fldChar w:fldCharType="begin"/>
      </w:r>
      <w:r w:rsidRPr="00653FE9">
        <w:instrText xml:space="preserve"> XE "Research" </w:instrText>
      </w:r>
      <w:r w:rsidRPr="00653FE9">
        <w:fldChar w:fldCharType="end"/>
      </w:r>
      <w:r w:rsidRPr="00653FE9">
        <w:t xml:space="preserve"> </w:t>
      </w:r>
    </w:p>
    <w:p w14:paraId="398CE748" w14:textId="77777777" w:rsidR="00286DC1" w:rsidRPr="00641F0D" w:rsidRDefault="00286DC1" w:rsidP="00CC1821">
      <w:pPr>
        <w:pStyle w:val="OMEHeading2"/>
      </w:pPr>
      <w:bookmarkStart w:id="11" w:name="_Toc334607930"/>
      <w:bookmarkStart w:id="12" w:name="_Toc334799899"/>
      <w:bookmarkStart w:id="13" w:name="_Toc524948306"/>
      <w:r w:rsidRPr="00653FE9">
        <w:t>Terminology Used to Describe Migra</w:t>
      </w:r>
      <w:r>
        <w:t>tory</w:t>
      </w:r>
      <w:r w:rsidRPr="00653FE9">
        <w:t xml:space="preserve"> Farmworkers</w:t>
      </w:r>
      <w:bookmarkEnd w:id="11"/>
      <w:bookmarkEnd w:id="12"/>
      <w:bookmarkEnd w:id="13"/>
      <w:r w:rsidR="009604B1">
        <w:t xml:space="preserve"> </w:t>
      </w:r>
    </w:p>
    <w:p w14:paraId="6D917B10" w14:textId="77777777" w:rsidR="00286DC1" w:rsidRPr="00653FE9" w:rsidRDefault="00286DC1" w:rsidP="005514ED">
      <w:pPr>
        <w:pStyle w:val="IDRText"/>
      </w:pPr>
      <w:r w:rsidRPr="00653FE9">
        <w:t>Over time, recruiters have developed a shared vocabulary of terms related to ID&amp;R</w:t>
      </w:r>
      <w:r w:rsidRPr="00653FE9">
        <w:fldChar w:fldCharType="begin"/>
      </w:r>
      <w:r w:rsidRPr="00653FE9">
        <w:instrText xml:space="preserve"> XE "Identification and Recruitment" </w:instrText>
      </w:r>
      <w:r w:rsidRPr="00653FE9">
        <w:fldChar w:fldCharType="end"/>
      </w:r>
      <w:r>
        <w:t xml:space="preserve">. </w:t>
      </w:r>
      <w:r w:rsidRPr="00653FE9">
        <w:t xml:space="preserve">Knowing these terms </w:t>
      </w:r>
      <w:r w:rsidRPr="00E22969">
        <w:t>makes it easier for the recruiter to conduct research</w:t>
      </w:r>
      <w:r w:rsidRPr="00E22969">
        <w:fldChar w:fldCharType="begin"/>
      </w:r>
      <w:r w:rsidRPr="00E22969">
        <w:instrText xml:space="preserve"> XE "Research" </w:instrText>
      </w:r>
      <w:r w:rsidRPr="00E22969">
        <w:fldChar w:fldCharType="end"/>
      </w:r>
      <w:r w:rsidRPr="00E22969">
        <w:t xml:space="preserve"> to effectively locate local</w:t>
      </w:r>
      <w:r w:rsidRPr="00E22969">
        <w:fldChar w:fldCharType="begin"/>
      </w:r>
      <w:r w:rsidRPr="00E22969">
        <w:instrText xml:space="preserve"> XE "Local" </w:instrText>
      </w:r>
      <w:r w:rsidRPr="00E22969">
        <w:fldChar w:fldCharType="end"/>
      </w:r>
      <w:r w:rsidRPr="00E22969">
        <w:t xml:space="preserve"> migratory workers and their families. While states and local project sites often develop their own terms, the following are terms that are commonly used in many states that recruiters may benefit from knowing</w:t>
      </w:r>
      <w:r w:rsidRPr="00E22969">
        <w:fldChar w:fldCharType="begin"/>
      </w:r>
      <w:r w:rsidRPr="00E22969">
        <w:instrText xml:space="preserve"> XE "Community" </w:instrText>
      </w:r>
      <w:r w:rsidRPr="00E22969">
        <w:fldChar w:fldCharType="end"/>
      </w:r>
      <w:r w:rsidRPr="00E22969">
        <w:t xml:space="preserve">. </w:t>
      </w:r>
    </w:p>
    <w:p w14:paraId="012B00B7" w14:textId="77777777" w:rsidR="00286DC1" w:rsidRPr="00653FE9" w:rsidRDefault="00286DC1" w:rsidP="005514ED">
      <w:pPr>
        <w:pStyle w:val="IDRText"/>
      </w:pPr>
      <w:r w:rsidRPr="00E22969">
        <w:rPr>
          <w:rStyle w:val="IDRSub-section"/>
        </w:rPr>
        <w:t>Home Base</w:t>
      </w:r>
      <w:r w:rsidRPr="00E22969">
        <w:rPr>
          <w:rStyle w:val="IDRSub-section"/>
        </w:rPr>
        <w:fldChar w:fldCharType="begin"/>
      </w:r>
      <w:r w:rsidRPr="00E22969">
        <w:rPr>
          <w:rStyle w:val="IDRSub-section"/>
        </w:rPr>
        <w:instrText xml:space="preserve"> XE "Home base" </w:instrText>
      </w:r>
      <w:r w:rsidRPr="00E22969">
        <w:rPr>
          <w:rStyle w:val="IDRSub-section"/>
        </w:rPr>
        <w:fldChar w:fldCharType="end"/>
      </w:r>
      <w:r w:rsidRPr="00E22969">
        <w:rPr>
          <w:rStyle w:val="IDRSub-section"/>
        </w:rPr>
        <w:t>.</w:t>
      </w:r>
      <w:r w:rsidRPr="00E22969">
        <w:t xml:space="preserve"> </w:t>
      </w:r>
      <w:r w:rsidRPr="00653FE9">
        <w:t>Many migra</w:t>
      </w:r>
      <w:r>
        <w:t>tory</w:t>
      </w:r>
      <w:r w:rsidRPr="00653FE9">
        <w:t xml:space="preserve"> families have a home base, or hometown, where they live for much of the year</w:t>
      </w:r>
      <w:r>
        <w:t xml:space="preserve">. </w:t>
      </w:r>
      <w:r w:rsidRPr="00653FE9">
        <w:t>They travel or migrate from this home base to other places to work for temporary or seasonal work</w:t>
      </w:r>
      <w:r>
        <w:t xml:space="preserve">. </w:t>
      </w:r>
      <w:r w:rsidRPr="00653FE9">
        <w:t>For example, a migra</w:t>
      </w:r>
      <w:r>
        <w:t>tory</w:t>
      </w:r>
      <w:r w:rsidRPr="00653FE9">
        <w:t xml:space="preserve"> family</w:t>
      </w:r>
      <w:r w:rsidRPr="00653FE9">
        <w:fldChar w:fldCharType="begin"/>
      </w:r>
      <w:r w:rsidRPr="00653FE9">
        <w:instrText xml:space="preserve"> XE "Family" </w:instrText>
      </w:r>
      <w:r w:rsidRPr="00653FE9">
        <w:fldChar w:fldCharType="end"/>
      </w:r>
      <w:r w:rsidRPr="00653FE9">
        <w:t xml:space="preserve"> might consider Florida to be </w:t>
      </w:r>
      <w:r>
        <w:t>its</w:t>
      </w:r>
      <w:r>
        <w:rPr>
          <w:lang w:val="en-US"/>
        </w:rPr>
        <w:t xml:space="preserve"> </w:t>
      </w:r>
      <w:r w:rsidRPr="00653FE9">
        <w:t xml:space="preserve">home base; </w:t>
      </w:r>
      <w:r>
        <w:t>the family members</w:t>
      </w:r>
      <w:r w:rsidRPr="00653FE9">
        <w:t xml:space="preserve"> live in Florida all winter and work through the citrus harvest in the spring, but then they move to South Carolina to work during the peach harvest</w:t>
      </w:r>
      <w:r>
        <w:t xml:space="preserve">. </w:t>
      </w:r>
      <w:r w:rsidRPr="00653FE9">
        <w:t>They might also travel to other states or locations and then return to their home base in Florida in the fall</w:t>
      </w:r>
      <w:r>
        <w:t xml:space="preserve">. </w:t>
      </w:r>
    </w:p>
    <w:p w14:paraId="69C70F2C" w14:textId="77777777" w:rsidR="00286DC1" w:rsidRPr="00E22969" w:rsidRDefault="00286DC1" w:rsidP="005514ED">
      <w:pPr>
        <w:pStyle w:val="IDRText"/>
      </w:pPr>
      <w:r w:rsidRPr="00E22969">
        <w:rPr>
          <w:rStyle w:val="IDRSub-section"/>
        </w:rPr>
        <w:t>Send and Receive</w:t>
      </w:r>
      <w:r w:rsidRPr="00E22969">
        <w:rPr>
          <w:rStyle w:val="IDRSub-section"/>
        </w:rPr>
        <w:fldChar w:fldCharType="begin"/>
      </w:r>
      <w:r w:rsidRPr="00E22969">
        <w:rPr>
          <w:rStyle w:val="IDRSub-section"/>
        </w:rPr>
        <w:instrText xml:space="preserve"> XE "Send and receive" </w:instrText>
      </w:r>
      <w:r w:rsidRPr="00E22969">
        <w:rPr>
          <w:rStyle w:val="IDRSub-section"/>
        </w:rPr>
        <w:fldChar w:fldCharType="end"/>
      </w:r>
      <w:r w:rsidRPr="00E22969">
        <w:rPr>
          <w:rStyle w:val="IDRSub-section"/>
        </w:rPr>
        <w:t>.</w:t>
      </w:r>
      <w:r w:rsidRPr="00E22969">
        <w:t xml:space="preserve"> </w:t>
      </w:r>
      <w:r w:rsidRPr="00653FE9">
        <w:t xml:space="preserve">A location may either </w:t>
      </w:r>
      <w:r w:rsidRPr="00653FE9">
        <w:rPr>
          <w:iCs/>
        </w:rPr>
        <w:t>send</w:t>
      </w:r>
      <w:r w:rsidRPr="00653FE9">
        <w:t xml:space="preserve"> migra</w:t>
      </w:r>
      <w:r>
        <w:t>tory</w:t>
      </w:r>
      <w:r w:rsidRPr="00653FE9">
        <w:t xml:space="preserve"> workers (</w:t>
      </w:r>
      <w:r>
        <w:t>i.e.,</w:t>
      </w:r>
      <w:r w:rsidRPr="00653FE9">
        <w:t xml:space="preserve"> workers live in a particular place for most of the year but move to other places to work) or </w:t>
      </w:r>
      <w:r w:rsidRPr="00653FE9">
        <w:rPr>
          <w:iCs/>
        </w:rPr>
        <w:t>receive</w:t>
      </w:r>
      <w:r w:rsidRPr="00653FE9">
        <w:t xml:space="preserve"> migra</w:t>
      </w:r>
      <w:r>
        <w:t>tory</w:t>
      </w:r>
      <w:r w:rsidRPr="00653FE9">
        <w:t xml:space="preserve"> workers (</w:t>
      </w:r>
      <w:r>
        <w:t>i.e.,</w:t>
      </w:r>
      <w:r w:rsidRPr="00653FE9">
        <w:t xml:space="preserve"> </w:t>
      </w:r>
      <w:r w:rsidRPr="00653FE9">
        <w:lastRenderedPageBreak/>
        <w:t>workers come from other places to this place to work)</w:t>
      </w:r>
      <w:r>
        <w:t xml:space="preserve">. </w:t>
      </w:r>
      <w:r w:rsidRPr="00653FE9">
        <w:t>In the example given above, Florida is the family</w:t>
      </w:r>
      <w:r w:rsidRPr="00653FE9">
        <w:fldChar w:fldCharType="begin"/>
      </w:r>
      <w:r w:rsidRPr="00653FE9">
        <w:instrText xml:space="preserve"> XE "Family" </w:instrText>
      </w:r>
      <w:r w:rsidRPr="00653FE9">
        <w:fldChar w:fldCharType="end"/>
      </w:r>
      <w:r w:rsidRPr="00653FE9">
        <w:t>’s home base</w:t>
      </w:r>
      <w:r w:rsidRPr="00653FE9">
        <w:fldChar w:fldCharType="begin"/>
      </w:r>
      <w:r w:rsidRPr="00653FE9">
        <w:instrText xml:space="preserve"> XE "Home base" </w:instrText>
      </w:r>
      <w:r w:rsidRPr="00653FE9">
        <w:fldChar w:fldCharType="end"/>
      </w:r>
      <w:r w:rsidRPr="00653FE9">
        <w:t>, so Florida is the sending state</w:t>
      </w:r>
      <w:r w:rsidRPr="00653FE9">
        <w:fldChar w:fldCharType="begin"/>
      </w:r>
      <w:r w:rsidRPr="00653FE9">
        <w:instrText xml:space="preserve"> XE "State" </w:instrText>
      </w:r>
      <w:r w:rsidRPr="00653FE9">
        <w:fldChar w:fldCharType="end"/>
      </w:r>
      <w:r>
        <w:t xml:space="preserve">. </w:t>
      </w:r>
      <w:r w:rsidRPr="00653FE9">
        <w:t>When the family moves to South Carolina to work, South Carolina becomes the family’s receiving state</w:t>
      </w:r>
      <w:r>
        <w:t xml:space="preserve">. </w:t>
      </w:r>
      <w:r w:rsidRPr="00653FE9">
        <w:t xml:space="preserve">Some areas send </w:t>
      </w:r>
      <w:r w:rsidRPr="009641C0">
        <w:rPr>
          <w:rStyle w:val="Emphasis"/>
        </w:rPr>
        <w:t>and</w:t>
      </w:r>
      <w:r w:rsidRPr="00653FE9">
        <w:t xml:space="preserve"> receive migra</w:t>
      </w:r>
      <w:r>
        <w:t>tory</w:t>
      </w:r>
      <w:r w:rsidRPr="00653FE9">
        <w:t xml:space="preserve"> families. A county may receive migra</w:t>
      </w:r>
      <w:r>
        <w:t>tory workers</w:t>
      </w:r>
      <w:r w:rsidRPr="00653FE9">
        <w:t xml:space="preserve"> who move from state to state (interstate) as well as </w:t>
      </w:r>
      <w:r>
        <w:t>those</w:t>
      </w:r>
      <w:r>
        <w:rPr>
          <w:lang w:val="en-US"/>
        </w:rPr>
        <w:t xml:space="preserve"> </w:t>
      </w:r>
      <w:r w:rsidRPr="00653FE9">
        <w:t>who simply move from place to place within a state (intrastate)</w:t>
      </w:r>
      <w:r>
        <w:t xml:space="preserve">. </w:t>
      </w:r>
    </w:p>
    <w:p w14:paraId="149DE8A6" w14:textId="77777777" w:rsidR="00286DC1" w:rsidRPr="00E22969" w:rsidRDefault="00286DC1" w:rsidP="005514ED">
      <w:pPr>
        <w:pStyle w:val="IDRText"/>
      </w:pPr>
      <w:r w:rsidRPr="00E22969">
        <w:rPr>
          <w:rStyle w:val="IDRSub-section"/>
        </w:rPr>
        <w:t>Migratory Streams</w:t>
      </w:r>
      <w:r w:rsidRPr="00E22969">
        <w:rPr>
          <w:rStyle w:val="IDRSub-section"/>
        </w:rPr>
        <w:fldChar w:fldCharType="begin"/>
      </w:r>
      <w:r w:rsidRPr="00E22969">
        <w:rPr>
          <w:rStyle w:val="IDRSub-section"/>
        </w:rPr>
        <w:instrText xml:space="preserve"> XE "Shuttle migrants" </w:instrText>
      </w:r>
      <w:r w:rsidRPr="00E22969">
        <w:rPr>
          <w:rStyle w:val="IDRSub-section"/>
        </w:rPr>
        <w:fldChar w:fldCharType="end"/>
      </w:r>
      <w:r w:rsidRPr="00E22969">
        <w:rPr>
          <w:rStyle w:val="IDRSub-section"/>
        </w:rPr>
        <w:t xml:space="preserve">. </w:t>
      </w:r>
      <w:r w:rsidRPr="00E22969">
        <w:t xml:space="preserve">Historically, the majority of migratory workers were believed to follow one of three distinct patterns of migration: (1) the Eastern stream, (2) the Mid-continent stream, and (3) the West Coast stream. The Eastern stream flowed east of the Appalachian Mountains, the Mid-continent stream flowed to and from Texas in all directions, and the West Coast stream flowed between Arizona, California, Oregon, and Washington. </w:t>
      </w:r>
    </w:p>
    <w:p w14:paraId="08F2E932" w14:textId="77777777" w:rsidR="00286DC1" w:rsidRPr="00E22969" w:rsidRDefault="00286DC1" w:rsidP="005514ED">
      <w:pPr>
        <w:pStyle w:val="IDRText"/>
      </w:pPr>
      <w:r w:rsidRPr="00E22969">
        <w:rPr>
          <w:rStyle w:val="IDRSub-section"/>
        </w:rPr>
        <w:t>Follow-the-Crop</w:t>
      </w:r>
      <w:r w:rsidRPr="00E22969">
        <w:rPr>
          <w:rStyle w:val="IDRSub-section"/>
        </w:rPr>
        <w:fldChar w:fldCharType="begin"/>
      </w:r>
      <w:r w:rsidRPr="00E22969">
        <w:rPr>
          <w:rStyle w:val="IDRSub-section"/>
        </w:rPr>
        <w:instrText xml:space="preserve"> XE "Crop" </w:instrText>
      </w:r>
      <w:r w:rsidRPr="00E22969">
        <w:rPr>
          <w:rStyle w:val="IDRSub-section"/>
        </w:rPr>
        <w:fldChar w:fldCharType="end"/>
      </w:r>
      <w:r w:rsidRPr="00E22969">
        <w:rPr>
          <w:rStyle w:val="IDRSub-section"/>
        </w:rPr>
        <w:t xml:space="preserve"> Migrants</w:t>
      </w:r>
      <w:r w:rsidRPr="00E22969">
        <w:rPr>
          <w:rStyle w:val="IDRSub-section"/>
        </w:rPr>
        <w:fldChar w:fldCharType="begin"/>
      </w:r>
      <w:r w:rsidRPr="00E22969">
        <w:rPr>
          <w:rStyle w:val="IDRSub-section"/>
        </w:rPr>
        <w:instrText xml:space="preserve"> XE "Shuttle migrants" </w:instrText>
      </w:r>
      <w:r w:rsidRPr="00E22969">
        <w:rPr>
          <w:rStyle w:val="IDRSub-section"/>
        </w:rPr>
        <w:fldChar w:fldCharType="end"/>
      </w:r>
      <w:r w:rsidRPr="00E22969">
        <w:rPr>
          <w:rStyle w:val="IDRSub-section"/>
        </w:rPr>
        <w:t>.</w:t>
      </w:r>
      <w:r w:rsidRPr="00E22969">
        <w:t xml:space="preserve"> </w:t>
      </w:r>
      <w:r w:rsidRPr="00653FE9">
        <w:t>The term “follow-the-crop migrants” comes from the U.S. Department of Labor’s National Agricultural Workers Survey (NAWS)</w:t>
      </w:r>
      <w:r>
        <w:t xml:space="preserve">. </w:t>
      </w:r>
      <w:r w:rsidRPr="00653FE9">
        <w:t>The term refers to workers who travel at least 75 miles to “multiple U.S. farm locations” over a 12-month period in order to work.</w:t>
      </w:r>
      <w:r>
        <w:t xml:space="preserve"> T</w:t>
      </w:r>
      <w:r w:rsidRPr="00535D02">
        <w:t xml:space="preserve">his term is now a relative rarity. These workers make up just </w:t>
      </w:r>
      <w:r>
        <w:rPr>
          <w:lang w:val="en-US"/>
        </w:rPr>
        <w:t>5</w:t>
      </w:r>
      <w:r w:rsidRPr="00535D02">
        <w:t xml:space="preserve"> percent of those surveyed by the NAWS in 2007-09, down from a high of 14 percent in 1992-94</w:t>
      </w:r>
      <w:r>
        <w:t xml:space="preserve"> (</w:t>
      </w:r>
      <w:r w:rsidRPr="00C65338">
        <w:rPr>
          <w:lang w:val="en-US"/>
        </w:rPr>
        <w:t>United States Department of Agriculture, Economic Research Service</w:t>
      </w:r>
      <w:r>
        <w:rPr>
          <w:lang w:val="en-US"/>
        </w:rPr>
        <w:t>, 2012).</w:t>
      </w:r>
      <w:r w:rsidR="00E22969" w:rsidRPr="00E22969">
        <w:t xml:space="preserve"> </w:t>
      </w:r>
    </w:p>
    <w:p w14:paraId="69E8E22D" w14:textId="77777777" w:rsidR="00286DC1" w:rsidRPr="00653FE9" w:rsidRDefault="00286DC1" w:rsidP="005514ED">
      <w:pPr>
        <w:pStyle w:val="IDRText"/>
      </w:pPr>
      <w:r w:rsidRPr="00E22969">
        <w:rPr>
          <w:rStyle w:val="IDRSub-section"/>
        </w:rPr>
        <w:t>Shuttle Migrants</w:t>
      </w:r>
      <w:r w:rsidRPr="00E22969">
        <w:rPr>
          <w:rStyle w:val="IDRSub-section"/>
        </w:rPr>
        <w:fldChar w:fldCharType="begin"/>
      </w:r>
      <w:r w:rsidRPr="00E22969">
        <w:rPr>
          <w:rStyle w:val="IDRSub-section"/>
        </w:rPr>
        <w:instrText xml:space="preserve"> XE "Shuttle migrants" </w:instrText>
      </w:r>
      <w:r w:rsidRPr="00E22969">
        <w:rPr>
          <w:rStyle w:val="IDRSub-section"/>
        </w:rPr>
        <w:fldChar w:fldCharType="end"/>
      </w:r>
      <w:r w:rsidRPr="00E22969">
        <w:rPr>
          <w:rStyle w:val="IDRSub-section"/>
        </w:rPr>
        <w:t>.</w:t>
      </w:r>
      <w:r w:rsidRPr="00E22969">
        <w:t xml:space="preserve"> </w:t>
      </w:r>
      <w:r w:rsidRPr="00653FE9">
        <w:t>The term “shuttle migrants” also comes from the NAWS</w:t>
      </w:r>
      <w:r>
        <w:t xml:space="preserve">. </w:t>
      </w:r>
      <w:r w:rsidRPr="00653FE9">
        <w:t>The term refers to migra</w:t>
      </w:r>
      <w:r>
        <w:t>tory</w:t>
      </w:r>
      <w:r w:rsidRPr="00653FE9">
        <w:t xml:space="preserve"> farmworkers who move more than 75 miles between a home base</w:t>
      </w:r>
      <w:r w:rsidRPr="00653FE9">
        <w:fldChar w:fldCharType="begin"/>
      </w:r>
      <w:r w:rsidRPr="00653FE9">
        <w:instrText xml:space="preserve"> XE "Home base" </w:instrText>
      </w:r>
      <w:r w:rsidRPr="00653FE9">
        <w:fldChar w:fldCharType="end"/>
      </w:r>
      <w:r w:rsidRPr="00653FE9">
        <w:t xml:space="preserve"> in the off-season and one or more farm job(s) located in the U.S. during the harvest season</w:t>
      </w:r>
      <w:r>
        <w:t xml:space="preserve">. </w:t>
      </w:r>
      <w:r w:rsidRPr="00653FE9">
        <w:t>For example, a migra</w:t>
      </w:r>
      <w:r>
        <w:t>tory</w:t>
      </w:r>
      <w:r w:rsidRPr="00653FE9">
        <w:t xml:space="preserve"> farmworker who lives in Mexico, travels to the U.S. to obtain a seasonal</w:t>
      </w:r>
      <w:r w:rsidRPr="00653FE9">
        <w:fldChar w:fldCharType="begin"/>
      </w:r>
      <w:r w:rsidRPr="00653FE9">
        <w:instrText xml:space="preserve"> XE "Seasonal" </w:instrText>
      </w:r>
      <w:r w:rsidRPr="00653FE9">
        <w:fldChar w:fldCharType="end"/>
      </w:r>
      <w:r w:rsidRPr="00653FE9">
        <w:t xml:space="preserve"> farm job in agriculture, and then returns home to Mexico to live inexpensively or to supplement his or her farm earnings with nonagricultural work during the off season is considered a shuttle migrant</w:t>
      </w:r>
      <w:r>
        <w:t xml:space="preserve">. </w:t>
      </w:r>
      <w:r w:rsidRPr="00653FE9">
        <w:t>Shuttle migrants can travel both domestically (</w:t>
      </w:r>
      <w:r>
        <w:t>i.e.,</w:t>
      </w:r>
      <w:r w:rsidRPr="00653FE9">
        <w:t xml:space="preserve"> within the U.S.) and internationally</w:t>
      </w:r>
      <w:r>
        <w:t xml:space="preserve">. </w:t>
      </w:r>
      <w:r w:rsidRPr="00653FE9">
        <w:t>The term is not defined for purposes of establishing eligibility</w:t>
      </w:r>
      <w:r w:rsidRPr="00653FE9">
        <w:fldChar w:fldCharType="begin"/>
      </w:r>
      <w:r w:rsidRPr="00653FE9">
        <w:instrText xml:space="preserve"> XE "Eligibility" </w:instrText>
      </w:r>
      <w:r w:rsidRPr="00653FE9">
        <w:fldChar w:fldCharType="end"/>
      </w:r>
      <w:r w:rsidRPr="00653FE9">
        <w:t xml:space="preserve"> for the MEP</w:t>
      </w:r>
      <w:r w:rsidRPr="00653FE9">
        <w:fldChar w:fldCharType="begin"/>
      </w:r>
      <w:r w:rsidRPr="00653FE9">
        <w:instrText xml:space="preserve"> XE "Migrant Education Program" </w:instrText>
      </w:r>
      <w:r w:rsidRPr="00653FE9">
        <w:fldChar w:fldCharType="end"/>
      </w:r>
      <w:r w:rsidRPr="00653FE9">
        <w:t xml:space="preserve">. </w:t>
      </w:r>
    </w:p>
    <w:p w14:paraId="2639CF56" w14:textId="77777777" w:rsidR="00286DC1" w:rsidRPr="00653FE9" w:rsidRDefault="00286DC1" w:rsidP="005514ED">
      <w:pPr>
        <w:pStyle w:val="IDRText"/>
      </w:pPr>
      <w:r w:rsidRPr="00653FE9">
        <w:t>B</w:t>
      </w:r>
      <w:r w:rsidRPr="00653FE9">
        <w:rPr>
          <w:iCs/>
        </w:rPr>
        <w:t xml:space="preserve">i-national shuttle </w:t>
      </w:r>
      <w:r w:rsidRPr="00653FE9">
        <w:t>migrants</w:t>
      </w:r>
      <w:r w:rsidRPr="00653FE9">
        <w:fldChar w:fldCharType="begin"/>
      </w:r>
      <w:r w:rsidRPr="00653FE9">
        <w:instrText xml:space="preserve"> XE "Shuttle migrants" </w:instrText>
      </w:r>
      <w:r w:rsidRPr="00653FE9">
        <w:fldChar w:fldCharType="end"/>
      </w:r>
      <w:r w:rsidRPr="00653FE9">
        <w:t xml:space="preserve"> (usually between Mexico and the U.S.) are often sensitive to changes in economic conditions, employment</w:t>
      </w:r>
      <w:r w:rsidRPr="00653FE9">
        <w:fldChar w:fldCharType="begin"/>
      </w:r>
      <w:r w:rsidRPr="00653FE9">
        <w:instrText xml:space="preserve"> XE "Employment" </w:instrText>
      </w:r>
      <w:r w:rsidRPr="00653FE9">
        <w:fldChar w:fldCharType="end"/>
      </w:r>
      <w:r w:rsidRPr="00653FE9">
        <w:t xml:space="preserve"> opportunities, and immigration policies</w:t>
      </w:r>
      <w:r>
        <w:t xml:space="preserve">. </w:t>
      </w:r>
      <w:r w:rsidRPr="00653FE9">
        <w:t>As these conditions change, so do the migration patterns of workers (</w:t>
      </w:r>
      <w:r>
        <w:t>e.g.,</w:t>
      </w:r>
      <w:r w:rsidRPr="00653FE9">
        <w:t xml:space="preserve"> when migra</w:t>
      </w:r>
      <w:r>
        <w:t>tory</w:t>
      </w:r>
      <w:r w:rsidRPr="00653FE9">
        <w:t xml:space="preserve"> workers move, where they move from and to, how many move, what type of employment they seek, etc.)</w:t>
      </w:r>
      <w:r>
        <w:t xml:space="preserve">. </w:t>
      </w:r>
      <w:r w:rsidRPr="00653FE9">
        <w:t>The recruiter needs to be aware of any changes in migration patterns.</w:t>
      </w:r>
    </w:p>
    <w:p w14:paraId="12D3DACE" w14:textId="77777777" w:rsidR="00286DC1" w:rsidRPr="00653FE9" w:rsidRDefault="00286DC1" w:rsidP="00E22969">
      <w:pPr>
        <w:pStyle w:val="IDRText"/>
      </w:pPr>
      <w:r w:rsidRPr="00E22969">
        <w:rPr>
          <w:rStyle w:val="IDRSub-section"/>
        </w:rPr>
        <w:t>Settled Out.</w:t>
      </w:r>
      <w:r w:rsidRPr="00E22969">
        <w:t xml:space="preserve"> </w:t>
      </w:r>
      <w:r w:rsidRPr="00653FE9">
        <w:t>This term means that the migra</w:t>
      </w:r>
      <w:r>
        <w:t>tory</w:t>
      </w:r>
      <w:r w:rsidRPr="00653FE9">
        <w:t xml:space="preserve"> child</w:t>
      </w:r>
      <w:r w:rsidRPr="00653FE9">
        <w:fldChar w:fldCharType="begin"/>
      </w:r>
      <w:r w:rsidRPr="00653FE9">
        <w:instrText xml:space="preserve"> XE "Child" </w:instrText>
      </w:r>
      <w:r w:rsidRPr="00653FE9">
        <w:fldChar w:fldCharType="end"/>
      </w:r>
      <w:r w:rsidRPr="00653FE9">
        <w:t xml:space="preserve"> or family</w:t>
      </w:r>
      <w:r w:rsidRPr="00653FE9">
        <w:fldChar w:fldCharType="begin"/>
      </w:r>
      <w:r w:rsidRPr="00653FE9">
        <w:instrText xml:space="preserve"> XE "Family" </w:instrText>
      </w:r>
      <w:r w:rsidRPr="00653FE9">
        <w:fldChar w:fldCharType="end"/>
      </w:r>
      <w:r w:rsidRPr="00653FE9">
        <w:t xml:space="preserve"> has become permanently established in an area and has stopped migrating for seasonal or temporary farm work.</w:t>
      </w:r>
    </w:p>
    <w:p w14:paraId="647DCC07" w14:textId="77777777" w:rsidR="00286DC1" w:rsidRPr="00641F0D" w:rsidRDefault="00286DC1" w:rsidP="00CC1821">
      <w:pPr>
        <w:pStyle w:val="OMEHeading2"/>
      </w:pPr>
      <w:r w:rsidRPr="00653FE9">
        <w:fldChar w:fldCharType="begin"/>
      </w:r>
      <w:r w:rsidRPr="00653FE9">
        <w:instrText xml:space="preserve"> XE "Network" </w:instrText>
      </w:r>
      <w:r w:rsidRPr="00653FE9">
        <w:fldChar w:fldCharType="end"/>
      </w:r>
      <w:bookmarkStart w:id="14" w:name="_Toc334607931"/>
      <w:bookmarkStart w:id="15" w:name="_Toc334799900"/>
      <w:bookmarkStart w:id="16" w:name="_Toc524948307"/>
      <w:r w:rsidRPr="00653FE9">
        <w:t>Identifying Important Information Sources</w:t>
      </w:r>
      <w:bookmarkEnd w:id="14"/>
      <w:bookmarkEnd w:id="15"/>
      <w:bookmarkEnd w:id="16"/>
      <w:r w:rsidRPr="00653FE9">
        <w:t xml:space="preserve"> </w:t>
      </w:r>
    </w:p>
    <w:p w14:paraId="4909156A" w14:textId="77777777" w:rsidR="00286DC1" w:rsidRPr="00E22969" w:rsidRDefault="00286DC1" w:rsidP="00E22969">
      <w:pPr>
        <w:pStyle w:val="IDRCallout"/>
      </w:pPr>
      <w:r w:rsidRPr="00641F0D">
        <w:t>When I started recruiting, I talked to the recruiters who found the most migra</w:t>
      </w:r>
      <w:r>
        <w:t>tory</w:t>
      </w:r>
      <w:r w:rsidRPr="00641F0D">
        <w:t xml:space="preserve"> children</w:t>
      </w:r>
      <w:r>
        <w:t xml:space="preserve">. </w:t>
      </w:r>
      <w:r w:rsidRPr="00641F0D">
        <w:t>I asked if they would introduce me to the people who were the most respected by migra</w:t>
      </w:r>
      <w:r>
        <w:t>tory</w:t>
      </w:r>
      <w:r w:rsidRPr="00641F0D">
        <w:t xml:space="preserve"> families</w:t>
      </w:r>
      <w:r>
        <w:t xml:space="preserve">. </w:t>
      </w:r>
      <w:r w:rsidRPr="00641F0D">
        <w:t>Over time I’ve developed many good friends, and they help me do a better job of finding migra</w:t>
      </w:r>
      <w:r>
        <w:t>tory</w:t>
      </w:r>
      <w:r w:rsidRPr="00641F0D">
        <w:t xml:space="preserve"> children</w:t>
      </w:r>
      <w:r>
        <w:t xml:space="preserve">. </w:t>
      </w:r>
      <w:r w:rsidRPr="00641F0D">
        <w:tab/>
      </w:r>
      <w:r w:rsidRPr="00641F0D">
        <w:tab/>
      </w:r>
      <w:r w:rsidRPr="00641F0D">
        <w:tab/>
      </w:r>
      <w:r w:rsidRPr="00641F0D">
        <w:tab/>
      </w:r>
    </w:p>
    <w:p w14:paraId="7C875A6C" w14:textId="77777777" w:rsidR="00286DC1" w:rsidRPr="00653FE9" w:rsidRDefault="00286DC1" w:rsidP="005514ED">
      <w:pPr>
        <w:pStyle w:val="IDRText"/>
      </w:pPr>
      <w:r w:rsidRPr="00653FE9">
        <w:lastRenderedPageBreak/>
        <w:t>As the recruiter begins researching the local</w:t>
      </w:r>
      <w:r w:rsidRPr="00653FE9">
        <w:fldChar w:fldCharType="begin"/>
      </w:r>
      <w:r w:rsidRPr="00653FE9">
        <w:instrText xml:space="preserve"> XE "Local" </w:instrText>
      </w:r>
      <w:r w:rsidRPr="00653FE9">
        <w:fldChar w:fldCharType="end"/>
      </w:r>
      <w:r w:rsidRPr="00653FE9">
        <w:t xml:space="preserve"> migra</w:t>
      </w:r>
      <w:r>
        <w:t>tory</w:t>
      </w:r>
      <w:r w:rsidRPr="00653FE9">
        <w:t xml:space="preserve"> community</w:t>
      </w:r>
      <w:r w:rsidRPr="00653FE9">
        <w:fldChar w:fldCharType="begin"/>
      </w:r>
      <w:r w:rsidRPr="00653FE9">
        <w:instrText xml:space="preserve"> XE "Community" </w:instrText>
      </w:r>
      <w:r w:rsidRPr="00653FE9">
        <w:fldChar w:fldCharType="end"/>
      </w:r>
      <w:r w:rsidRPr="00653FE9">
        <w:t xml:space="preserve">, the recruiter should become familiar with the information sources that are essential to building an effective </w:t>
      </w:r>
      <w:r w:rsidRPr="00653FE9">
        <w:rPr>
          <w:iCs/>
        </w:rPr>
        <w:t>recruitment network</w:t>
      </w:r>
      <w:r w:rsidRPr="00653FE9">
        <w:rPr>
          <w:iCs/>
        </w:rPr>
        <w:fldChar w:fldCharType="begin"/>
      </w:r>
      <w:r w:rsidRPr="00653FE9">
        <w:rPr>
          <w:iCs/>
        </w:rPr>
        <w:instrText xml:space="preserve"> XE "</w:instrText>
      </w:r>
      <w:r w:rsidRPr="00653FE9">
        <w:instrText>Recruitment network"</w:instrText>
      </w:r>
      <w:r w:rsidRPr="00653FE9">
        <w:rPr>
          <w:iCs/>
        </w:rPr>
        <w:instrText xml:space="preserve"> </w:instrText>
      </w:r>
      <w:r w:rsidRPr="00653FE9">
        <w:rPr>
          <w:iCs/>
        </w:rPr>
        <w:fldChar w:fldCharType="end"/>
      </w:r>
      <w:r w:rsidRPr="00653FE9">
        <w:rPr>
          <w:iCs/>
        </w:rPr>
        <w:fldChar w:fldCharType="begin"/>
      </w:r>
      <w:r w:rsidRPr="00653FE9">
        <w:rPr>
          <w:iCs/>
        </w:rPr>
        <w:instrText xml:space="preserve"> XE "</w:instrText>
      </w:r>
      <w:r w:rsidRPr="00653FE9">
        <w:instrText>network"</w:instrText>
      </w:r>
      <w:r w:rsidRPr="00653FE9">
        <w:rPr>
          <w:iCs/>
        </w:rPr>
        <w:instrText xml:space="preserve"> </w:instrText>
      </w:r>
      <w:r w:rsidRPr="00653FE9">
        <w:rPr>
          <w:iCs/>
        </w:rPr>
        <w:fldChar w:fldCharType="end"/>
      </w:r>
      <w:r>
        <w:t xml:space="preserve">. A </w:t>
      </w:r>
      <w:r w:rsidRPr="00653FE9">
        <w:t>recruitment network</w:t>
      </w:r>
      <w:r w:rsidRPr="00653FE9">
        <w:fldChar w:fldCharType="begin"/>
      </w:r>
      <w:r w:rsidRPr="00653FE9">
        <w:instrText xml:space="preserve"> XE “Network" </w:instrText>
      </w:r>
      <w:r w:rsidRPr="00653FE9">
        <w:fldChar w:fldCharType="end"/>
      </w:r>
      <w:r w:rsidRPr="00653FE9">
        <w:t xml:space="preserve"> is a system of contacts, including individuals, agencies, and other institutions, that provides information on identifying and locating potentially eligible</w:t>
      </w:r>
      <w:r w:rsidRPr="00653FE9">
        <w:fldChar w:fldCharType="begin"/>
      </w:r>
      <w:r w:rsidRPr="00653FE9">
        <w:instrText xml:space="preserve"> XE "Eligibility" </w:instrText>
      </w:r>
      <w:r w:rsidRPr="00653FE9">
        <w:fldChar w:fldCharType="end"/>
      </w:r>
      <w:r w:rsidRPr="00653FE9">
        <w:t xml:space="preserve"> children</w:t>
      </w:r>
      <w:r w:rsidRPr="00653FE9">
        <w:fldChar w:fldCharType="begin"/>
      </w:r>
      <w:r w:rsidRPr="00653FE9">
        <w:instrText xml:space="preserve"> XE "Youth" </w:instrText>
      </w:r>
      <w:r w:rsidRPr="00653FE9">
        <w:fldChar w:fldCharType="end"/>
      </w:r>
      <w:r>
        <w:t xml:space="preserve">. </w:t>
      </w:r>
      <w:r w:rsidRPr="00653FE9">
        <w:t xml:space="preserve">Establishing a </w:t>
      </w:r>
      <w:r>
        <w:t>recrui</w:t>
      </w:r>
      <w:r w:rsidRPr="00653FE9">
        <w:t>ting network and developing a strong working relationship with each member of that network is an important way of finding migra</w:t>
      </w:r>
      <w:r>
        <w:t>tory</w:t>
      </w:r>
      <w:r w:rsidRPr="00653FE9">
        <w:t xml:space="preserve"> children who could be eligible for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services</w:t>
      </w:r>
      <w:r>
        <w:t xml:space="preserve">. </w:t>
      </w:r>
      <w:r w:rsidRPr="00653FE9">
        <w:t>When done properly a recruitment network can serve as the eyes and ears of the recruiter</w:t>
      </w:r>
      <w:r>
        <w:t xml:space="preserve">. </w:t>
      </w:r>
    </w:p>
    <w:p w14:paraId="6FA4D60C" w14:textId="77777777" w:rsidR="00286DC1" w:rsidRDefault="00286DC1" w:rsidP="005514ED">
      <w:pPr>
        <w:pStyle w:val="IDRText"/>
        <w:spacing w:after="120"/>
      </w:pPr>
      <w:r w:rsidRPr="00653FE9">
        <w:t>The five most common information sources when building a recruitment network</w:t>
      </w:r>
      <w:r w:rsidRPr="00653FE9">
        <w:fldChar w:fldCharType="begin"/>
      </w:r>
      <w:r w:rsidRPr="00653FE9">
        <w:instrText xml:space="preserve"> XE "Recruitment network" </w:instrText>
      </w:r>
      <w:r w:rsidRPr="00653FE9">
        <w:fldChar w:fldCharType="end"/>
      </w:r>
      <w:r w:rsidRPr="00653FE9">
        <w:t xml:space="preserve"> are </w:t>
      </w:r>
    </w:p>
    <w:p w14:paraId="21B46B18" w14:textId="77777777" w:rsidR="00286DC1" w:rsidRDefault="00286DC1" w:rsidP="00033FC1">
      <w:pPr>
        <w:pStyle w:val="IDRListParagraph"/>
        <w:numPr>
          <w:ilvl w:val="0"/>
          <w:numId w:val="15"/>
        </w:numPr>
      </w:pPr>
      <w:r>
        <w:t>employers;</w:t>
      </w:r>
    </w:p>
    <w:p w14:paraId="217D3E61" w14:textId="77777777" w:rsidR="00286DC1" w:rsidRDefault="00286DC1" w:rsidP="00033FC1">
      <w:pPr>
        <w:pStyle w:val="IDRListParagraph"/>
        <w:numPr>
          <w:ilvl w:val="0"/>
          <w:numId w:val="15"/>
        </w:numPr>
      </w:pPr>
      <w:r>
        <w:t>local school staff;</w:t>
      </w:r>
    </w:p>
    <w:p w14:paraId="5CCECDBA" w14:textId="77777777" w:rsidR="00286DC1" w:rsidRDefault="00286DC1" w:rsidP="00033FC1">
      <w:pPr>
        <w:pStyle w:val="IDRListParagraph"/>
        <w:numPr>
          <w:ilvl w:val="0"/>
          <w:numId w:val="15"/>
        </w:numPr>
      </w:pPr>
      <w:r>
        <w:t>community contacts, organizations, and commercial establishments;</w:t>
      </w:r>
    </w:p>
    <w:p w14:paraId="04B74525" w14:textId="77777777" w:rsidR="00286DC1" w:rsidRDefault="00286DC1" w:rsidP="00033FC1">
      <w:pPr>
        <w:pStyle w:val="IDRListParagraph"/>
        <w:numPr>
          <w:ilvl w:val="0"/>
          <w:numId w:val="15"/>
        </w:numPr>
      </w:pPr>
      <w:r>
        <w:t>other government agencies; and</w:t>
      </w:r>
    </w:p>
    <w:p w14:paraId="05E4577D" w14:textId="77777777" w:rsidR="00286DC1" w:rsidRDefault="00286DC1" w:rsidP="00033FC1">
      <w:pPr>
        <w:pStyle w:val="IDRListParagraph"/>
        <w:numPr>
          <w:ilvl w:val="0"/>
          <w:numId w:val="15"/>
        </w:numPr>
      </w:pPr>
      <w:r>
        <w:t>migratory families and youth.</w:t>
      </w:r>
    </w:p>
    <w:p w14:paraId="23FD0EFC" w14:textId="77777777" w:rsidR="00286DC1" w:rsidRPr="00653FE9" w:rsidRDefault="00286DC1" w:rsidP="005514ED">
      <w:pPr>
        <w:pStyle w:val="IDRText"/>
      </w:pPr>
      <w:r w:rsidRPr="00653FE9">
        <w:t xml:space="preserve">The recruiter should encourage members of the </w:t>
      </w:r>
      <w:r>
        <w:rPr>
          <w:lang w:val="en-US"/>
        </w:rPr>
        <w:t>recruitment</w:t>
      </w:r>
      <w:r w:rsidRPr="00653FE9">
        <w:t xml:space="preserve"> network</w:t>
      </w:r>
      <w:r w:rsidRPr="00653FE9">
        <w:fldChar w:fldCharType="begin"/>
      </w:r>
      <w:r w:rsidRPr="00653FE9">
        <w:instrText xml:space="preserve"> XE “Network" </w:instrText>
      </w:r>
      <w:r w:rsidRPr="00653FE9">
        <w:fldChar w:fldCharType="end"/>
      </w:r>
      <w:r w:rsidRPr="00653FE9">
        <w:t xml:space="preserve"> to refer potentially eligible children to the MEP</w:t>
      </w:r>
      <w:r>
        <w:t xml:space="preserve">. </w:t>
      </w:r>
      <w:r w:rsidRPr="00653FE9">
        <w:t xml:space="preserve">At </w:t>
      </w:r>
      <w:r w:rsidRPr="00653FE9">
        <w:fldChar w:fldCharType="begin"/>
      </w:r>
      <w:r w:rsidRPr="00653FE9">
        <w:instrText xml:space="preserve"> XE "Eligibility" </w:instrText>
      </w:r>
      <w:r w:rsidRPr="00653FE9">
        <w:fldChar w:fldCharType="end"/>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the same time, the recruiter should let network members know that </w:t>
      </w:r>
      <w:r w:rsidRPr="00653FE9">
        <w:fldChar w:fldCharType="begin"/>
      </w:r>
      <w:r w:rsidRPr="00653FE9">
        <w:instrText xml:space="preserve"> XE "Referrals" </w:instrText>
      </w:r>
      <w:r w:rsidRPr="00653FE9">
        <w:fldChar w:fldCharType="end"/>
      </w:r>
      <w:r w:rsidRPr="00653FE9">
        <w:t>only MEP staff can determine whether a child</w:t>
      </w:r>
      <w:r w:rsidRPr="00653FE9">
        <w:fldChar w:fldCharType="begin"/>
      </w:r>
      <w:r w:rsidRPr="00653FE9">
        <w:instrText xml:space="preserve"> XE "Child" </w:instrText>
      </w:r>
      <w:r w:rsidRPr="00653FE9">
        <w:fldChar w:fldCharType="end"/>
      </w:r>
      <w:r w:rsidRPr="00653FE9">
        <w:t xml:space="preserve"> is eligible to receive MEP services</w:t>
      </w:r>
      <w:r>
        <w:t xml:space="preserve">. </w:t>
      </w:r>
      <w:r w:rsidRPr="00653FE9">
        <w:t>As a result, network members should be careful not to promise families that their children will receive services</w:t>
      </w:r>
      <w:r>
        <w:t xml:space="preserve">. </w:t>
      </w:r>
      <w:r w:rsidRPr="00653FE9">
        <w:t xml:space="preserve">The key sources of information to consider in establishing a recruitment network are discussed below. </w:t>
      </w:r>
    </w:p>
    <w:p w14:paraId="3E349258" w14:textId="77777777" w:rsidR="00286DC1" w:rsidRPr="00653FE9" w:rsidRDefault="00286DC1" w:rsidP="0017588E">
      <w:pPr>
        <w:pStyle w:val="IDRCallout"/>
      </w:pPr>
      <w:r w:rsidRPr="00AA2B80">
        <w:t>In my state, our relationship with local</w:t>
      </w:r>
      <w:r w:rsidRPr="00AA2B80">
        <w:fldChar w:fldCharType="begin"/>
      </w:r>
      <w:r w:rsidRPr="00AA2B80">
        <w:instrText xml:space="preserve"> XE "Local" </w:instrText>
      </w:r>
      <w:r w:rsidRPr="00AA2B80">
        <w:fldChar w:fldCharType="end"/>
      </w:r>
      <w:r w:rsidRPr="00AA2B80">
        <w:t xml:space="preserve"> growers </w:t>
      </w:r>
      <w:proofErr w:type="gramStart"/>
      <w:r w:rsidRPr="00AA2B80">
        <w:t>is</w:t>
      </w:r>
      <w:proofErr w:type="gramEnd"/>
      <w:r w:rsidRPr="00AA2B80">
        <w:t xml:space="preserve"> so good that they give us a carbon copy of the pre-employment</w:t>
      </w:r>
      <w:r w:rsidRPr="00AA2B80">
        <w:fldChar w:fldCharType="begin"/>
      </w:r>
      <w:r w:rsidRPr="00AA2B80">
        <w:instrText xml:space="preserve"> XE "Employment" </w:instrText>
      </w:r>
      <w:r w:rsidRPr="00AA2B80">
        <w:fldChar w:fldCharType="end"/>
      </w:r>
      <w:r w:rsidRPr="00AA2B80">
        <w:t xml:space="preserve"> forms that job candidates fill out when they apply for work</w:t>
      </w:r>
      <w:r>
        <w:t xml:space="preserve">. </w:t>
      </w:r>
      <w:r w:rsidRPr="00AA2B80">
        <w:t>They avoid privacy concerns by having the applicant sign an agreement that the information can be shared</w:t>
      </w:r>
      <w:r>
        <w:t xml:space="preserve">. </w:t>
      </w:r>
      <w:r w:rsidRPr="00AA2B80">
        <w:t>The pre-employment forms help us recruit more efficiently and we also staple it to the hard copy of the COE</w:t>
      </w:r>
      <w:r w:rsidRPr="00AA2B80">
        <w:fldChar w:fldCharType="begin"/>
      </w:r>
      <w:r w:rsidRPr="00AA2B80">
        <w:instrText xml:space="preserve"> XE "Certificate of Eligibility" </w:instrText>
      </w:r>
      <w:r w:rsidRPr="00AA2B80">
        <w:fldChar w:fldCharType="end"/>
      </w:r>
      <w:r w:rsidRPr="00AA2B80">
        <w:t xml:space="preserve"> to corroborate the worker’s employment</w:t>
      </w:r>
      <w:r>
        <w:t xml:space="preserve">. </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p>
    <w:p w14:paraId="01DF07AC" w14:textId="77777777" w:rsidR="00286DC1" w:rsidRPr="00653FE9" w:rsidRDefault="00286DC1" w:rsidP="005514ED">
      <w:pPr>
        <w:pStyle w:val="IDRText"/>
      </w:pPr>
      <w:r w:rsidRPr="00E22969">
        <w:rPr>
          <w:rStyle w:val="IDRSub-section"/>
        </w:rPr>
        <w:t>Employers.</w:t>
      </w:r>
      <w:r w:rsidRPr="00E22969">
        <w:t xml:space="preserve"> </w:t>
      </w:r>
      <w:r w:rsidRPr="00653FE9">
        <w:t>The recruiter should identify the local</w:t>
      </w:r>
      <w:r w:rsidRPr="00653FE9">
        <w:fldChar w:fldCharType="begin"/>
      </w:r>
      <w:r w:rsidRPr="00653FE9">
        <w:instrText xml:space="preserve"> XE "Local" </w:instrText>
      </w:r>
      <w:r w:rsidRPr="00653FE9">
        <w:fldChar w:fldCharType="end"/>
      </w:r>
      <w:r w:rsidRPr="00653FE9">
        <w:t xml:space="preserve"> employers that are the most likely to hire migra</w:t>
      </w:r>
      <w:r>
        <w:t>tory</w:t>
      </w:r>
      <w:r w:rsidRPr="00653FE9">
        <w:t xml:space="preserve"> agricultural </w:t>
      </w:r>
      <w:r>
        <w:t xml:space="preserve">workers </w:t>
      </w:r>
      <w:r w:rsidRPr="00653FE9">
        <w:t xml:space="preserve">or </w:t>
      </w:r>
      <w:r>
        <w:t xml:space="preserve">migratory fishers. </w:t>
      </w:r>
      <w:r w:rsidRPr="00653FE9">
        <w:t>Once identified, it is important to establish good working relationships with them and to explain the value of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since employers can serve as the greatest allies in the recruiter’s ID&amp;R</w:t>
      </w:r>
      <w:r w:rsidRPr="00653FE9">
        <w:fldChar w:fldCharType="begin"/>
      </w:r>
      <w:r w:rsidRPr="00653FE9">
        <w:instrText xml:space="preserve"> XE "Identification and Recruitment" </w:instrText>
      </w:r>
      <w:r w:rsidRPr="00653FE9">
        <w:fldChar w:fldCharType="end"/>
      </w:r>
      <w:r w:rsidRPr="00653FE9">
        <w:t xml:space="preserve"> efforts</w:t>
      </w:r>
      <w:r>
        <w:t xml:space="preserve">. </w:t>
      </w:r>
      <w:r w:rsidRPr="00653FE9">
        <w:t>Making a good first impression with agricultural employers is key; their cooperation is necessary for the recruiter to gain entry to places where migra</w:t>
      </w:r>
      <w:r>
        <w:t>tory</w:t>
      </w:r>
      <w:r w:rsidRPr="00653FE9">
        <w:t xml:space="preserve"> families and youth work and to obtain permission to interview</w:t>
      </w:r>
      <w:r w:rsidRPr="00653FE9">
        <w:fldChar w:fldCharType="begin"/>
      </w:r>
      <w:r w:rsidRPr="00653FE9">
        <w:instrText xml:space="preserve"> XE "Interview" </w:instrText>
      </w:r>
      <w:r w:rsidRPr="00653FE9">
        <w:fldChar w:fldCharType="end"/>
      </w:r>
      <w:r w:rsidRPr="00653FE9">
        <w:t xml:space="preserve"> migra</w:t>
      </w:r>
      <w:r>
        <w:t>tory</w:t>
      </w:r>
      <w:r w:rsidRPr="00653FE9">
        <w:t xml:space="preserve"> workers during work breaks or after hours</w:t>
      </w:r>
      <w:r>
        <w:t xml:space="preserve">. </w:t>
      </w:r>
    </w:p>
    <w:p w14:paraId="643612D2" w14:textId="77777777" w:rsidR="00286DC1" w:rsidRPr="00B238A3" w:rsidRDefault="00286DC1" w:rsidP="005514ED">
      <w:pPr>
        <w:pStyle w:val="IDRText"/>
        <w:spacing w:after="120"/>
        <w:rPr>
          <w:lang w:val="en-US"/>
        </w:rPr>
      </w:pPr>
      <w:r w:rsidRPr="00653FE9">
        <w:t>To break the ice with a new employer</w:t>
      </w:r>
      <w:r w:rsidRPr="00653FE9">
        <w:fldChar w:fldCharType="begin"/>
      </w:r>
      <w:r w:rsidRPr="00653FE9">
        <w:instrText xml:space="preserve"> XE "Employer" </w:instrText>
      </w:r>
      <w:r w:rsidRPr="00653FE9">
        <w:fldChar w:fldCharType="end"/>
      </w:r>
      <w:r w:rsidRPr="00653FE9">
        <w:t xml:space="preserve"> it is often beneficial for an administrator</w:t>
      </w:r>
      <w:r w:rsidRPr="00653FE9">
        <w:fldChar w:fldCharType="begin"/>
      </w:r>
      <w:r w:rsidRPr="00653FE9">
        <w:instrText xml:space="preserve"> XE "Administrator" </w:instrText>
      </w:r>
      <w:r w:rsidRPr="00653FE9">
        <w:fldChar w:fldCharType="end"/>
      </w:r>
      <w:r w:rsidRPr="00653FE9">
        <w:t xml:space="preserve"> to </w:t>
      </w:r>
      <w:r>
        <w:rPr>
          <w:lang w:val="en-US"/>
        </w:rPr>
        <w:t>send</w:t>
      </w:r>
      <w:r w:rsidRPr="00653FE9">
        <w:t xml:space="preserve"> a letter to the employer that explains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and asks for the employer’s help in identifying potentially eligible children</w:t>
      </w:r>
      <w:r>
        <w:t xml:space="preserve"> </w:t>
      </w:r>
      <w:r w:rsidRPr="00653FE9">
        <w:t xml:space="preserve">(see </w:t>
      </w:r>
      <w:r w:rsidRPr="007738CE">
        <w:t>Appendix V</w:t>
      </w:r>
      <w:r w:rsidRPr="00653FE9">
        <w:t>)</w:t>
      </w:r>
      <w:r>
        <w:t xml:space="preserve">. </w:t>
      </w:r>
      <w:r w:rsidRPr="00653FE9">
        <w:fldChar w:fldCharType="begin"/>
      </w:r>
      <w:r w:rsidRPr="00653FE9">
        <w:instrText xml:space="preserve"> XE "Youth" </w:instrText>
      </w:r>
      <w:r w:rsidRPr="00653FE9">
        <w:fldChar w:fldCharType="end"/>
      </w:r>
      <w:r w:rsidRPr="00653FE9">
        <w:fldChar w:fldCharType="begin"/>
      </w:r>
      <w:r w:rsidRPr="00653FE9">
        <w:instrText xml:space="preserve"> XE "Eligibility" </w:instrText>
      </w:r>
      <w:r w:rsidRPr="00653FE9">
        <w:fldChar w:fldCharType="end"/>
      </w:r>
      <w:r w:rsidRPr="00653FE9">
        <w:t xml:space="preserve">The administrator may also wish to </w:t>
      </w:r>
      <w:r>
        <w:t xml:space="preserve">follow up with a telephone call. </w:t>
      </w:r>
      <w:r w:rsidRPr="00653FE9">
        <w:t>Once the administrator has made this initial contact, the recruiter can contact the employer directly, using the letter as a conversation opener</w:t>
      </w:r>
      <w:r>
        <w:t xml:space="preserve">. </w:t>
      </w:r>
      <w:r w:rsidRPr="00653FE9">
        <w:t>It is important for the recruiter to gain the trust of the employer, which can be done by demonstrating honesty, responsibility, confidentiality, and consideration to the employer</w:t>
      </w:r>
      <w:r>
        <w:t xml:space="preserve">. </w:t>
      </w:r>
      <w:r w:rsidRPr="00653FE9">
        <w:t xml:space="preserve">The recruiter should maintain regular communication with the employer while being </w:t>
      </w:r>
      <w:r w:rsidRPr="00653FE9">
        <w:lastRenderedPageBreak/>
        <w:t xml:space="preserve">mindful that farmers are busy people. The recruiter should make sure not to overburden the employer with constant inquiries as this is sure to diminish their working relationship. The recruiter should do </w:t>
      </w:r>
      <w:r>
        <w:t xml:space="preserve">his or her </w:t>
      </w:r>
      <w:r w:rsidRPr="00653FE9">
        <w:t>best to make conversation</w:t>
      </w:r>
      <w:r>
        <w:t>s</w:t>
      </w:r>
      <w:r w:rsidRPr="00653FE9">
        <w:t xml:space="preserve"> direct and to the point</w:t>
      </w:r>
      <w:r>
        <w:t xml:space="preserve">. </w:t>
      </w:r>
      <w:r w:rsidRPr="00653FE9">
        <w:t>Additionally, the recruiter should take notice of times when the employer seems less busy, as these times provide quality opportunities to build relationships</w:t>
      </w:r>
      <w:r>
        <w:t xml:space="preserve">. </w:t>
      </w:r>
      <w:r w:rsidRPr="00653FE9">
        <w:t>When an employer is dealing with a crisis on the farm the recruiter should turn around and come back another time; this is not the time to promote the MEP. The recruiter should wait for a time that is convenient to the employer to explain the purpose of the program and how the employer might benefit from participating in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t xml:space="preserve">. </w:t>
      </w:r>
      <w:r w:rsidRPr="00653FE9">
        <w:t xml:space="preserve">The best chance for a successful working relationship with agricultural employers is to create a </w:t>
      </w:r>
      <w:r>
        <w:t>win/win situation. For example:</w:t>
      </w:r>
    </w:p>
    <w:p w14:paraId="097CEB1F" w14:textId="77777777" w:rsidR="00286DC1" w:rsidRPr="00653FE9" w:rsidRDefault="00286DC1" w:rsidP="005514ED">
      <w:pPr>
        <w:pStyle w:val="IDRListParagraph"/>
      </w:pPr>
      <w:r w:rsidRPr="00653FE9">
        <w:t>Many workers have children and will seek employment in areas that can provide extra services for their children.</w:t>
      </w:r>
    </w:p>
    <w:p w14:paraId="1854ACCD" w14:textId="77777777" w:rsidR="00286DC1" w:rsidRPr="00653FE9" w:rsidRDefault="00286DC1" w:rsidP="005514ED">
      <w:pPr>
        <w:pStyle w:val="IDRListParagraph"/>
      </w:pPr>
      <w:r w:rsidRPr="00653FE9">
        <w:t>Workers whose children are engaged in school are less likely to leave their jobs, which reduces costs associated with employee turnover.</w:t>
      </w:r>
    </w:p>
    <w:p w14:paraId="0375F238" w14:textId="77777777" w:rsidR="00286DC1" w:rsidRPr="00653FE9" w:rsidRDefault="00286DC1" w:rsidP="005514ED">
      <w:pPr>
        <w:pStyle w:val="IDRListParagraph"/>
      </w:pPr>
      <w:r w:rsidRPr="00653FE9">
        <w:t>Workers whose children are engaged in school are often more productive since they are less concerned about their children and, therefore, better able to concentrate on their jobs. Their children are less likely to be brought to the workplace (creating a liability problem for the employer), to miss school in order to care for a younger sibling, or to be left in an unsupervised home.</w:t>
      </w:r>
    </w:p>
    <w:p w14:paraId="5ED9F53B" w14:textId="77777777" w:rsidR="00286DC1" w:rsidRPr="00653FE9" w:rsidRDefault="00286DC1" w:rsidP="005514ED">
      <w:pPr>
        <w:pStyle w:val="IDRListParagraph"/>
        <w:spacing w:after="0"/>
      </w:pPr>
      <w:r w:rsidRPr="00653FE9">
        <w:t>A small investment of time on the part of the employer can result in a happier workforce and better relationship with the larger community.</w:t>
      </w:r>
    </w:p>
    <w:p w14:paraId="6AA1BCAF" w14:textId="77777777" w:rsidR="00286DC1" w:rsidRPr="00E22969" w:rsidRDefault="00286DC1" w:rsidP="005514ED">
      <w:pPr>
        <w:pStyle w:val="IDRText"/>
      </w:pPr>
      <w:r w:rsidRPr="00653FE9">
        <w:t>Because of these benefits, employers are generally supportive of having employees and their families participate in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In addition, the recrui</w:t>
      </w:r>
      <w:r>
        <w:t xml:space="preserve">ter can provide other valuable resources </w:t>
      </w:r>
      <w:r w:rsidRPr="00653FE9">
        <w:t>to an employer</w:t>
      </w:r>
      <w:r w:rsidRPr="00653FE9">
        <w:fldChar w:fldCharType="begin"/>
      </w:r>
      <w:r w:rsidRPr="00653FE9">
        <w:instrText xml:space="preserve"> XE "Employer" </w:instrText>
      </w:r>
      <w:r w:rsidRPr="00653FE9">
        <w:fldChar w:fldCharType="end"/>
      </w:r>
      <w:r w:rsidRPr="00653FE9">
        <w:t>, such as referring migra</w:t>
      </w:r>
      <w:r>
        <w:t>tory</w:t>
      </w:r>
      <w:r w:rsidRPr="00653FE9">
        <w:t xml:space="preserve"> families to other useful services including a local</w:t>
      </w:r>
      <w:r w:rsidRPr="00653FE9">
        <w:fldChar w:fldCharType="begin"/>
      </w:r>
      <w:r w:rsidRPr="00653FE9">
        <w:instrText xml:space="preserve"> XE "Local" </w:instrText>
      </w:r>
      <w:r w:rsidRPr="00653FE9">
        <w:fldChar w:fldCharType="end"/>
      </w:r>
      <w:r w:rsidRPr="00653FE9">
        <w:t xml:space="preserve"> migra</w:t>
      </w:r>
      <w:r>
        <w:t>tory</w:t>
      </w:r>
      <w:r w:rsidRPr="00653FE9">
        <w:t xml:space="preserve"> health clinic</w:t>
      </w:r>
      <w:r>
        <w:t xml:space="preserve">. </w:t>
      </w:r>
      <w:r w:rsidRPr="00653FE9">
        <w:t>The recruiter should also build relationships with migra</w:t>
      </w:r>
      <w:r>
        <w:t>tory</w:t>
      </w:r>
      <w:r w:rsidRPr="00653FE9">
        <w:t xml:space="preserve"> labor contractors or crew chiefs who can alert the recruiter when new workers who have children are hired</w:t>
      </w:r>
      <w:r>
        <w:t xml:space="preserve">. </w:t>
      </w:r>
    </w:p>
    <w:p w14:paraId="59D08720" w14:textId="77777777" w:rsidR="00286DC1" w:rsidRPr="00B238A3" w:rsidRDefault="00286DC1" w:rsidP="005514ED">
      <w:pPr>
        <w:pStyle w:val="IDRText"/>
        <w:spacing w:after="120"/>
        <w:rPr>
          <w:lang w:val="en-US"/>
        </w:rPr>
      </w:pPr>
      <w:r w:rsidRPr="00653FE9">
        <w:t>The recruiter should develop and maintain profiles of the major employers that hire temporary</w:t>
      </w:r>
      <w:r w:rsidRPr="00653FE9">
        <w:fldChar w:fldCharType="begin"/>
      </w:r>
      <w:r w:rsidRPr="00653FE9">
        <w:instrText xml:space="preserve"> XE "Temporary" </w:instrText>
      </w:r>
      <w:r w:rsidRPr="00653FE9">
        <w:fldChar w:fldCharType="end"/>
      </w:r>
      <w:r w:rsidRPr="00653FE9">
        <w:t xml:space="preserve"> or seasonal</w:t>
      </w:r>
      <w:r w:rsidRPr="00653FE9">
        <w:fldChar w:fldCharType="begin"/>
      </w:r>
      <w:r w:rsidRPr="00653FE9">
        <w:instrText xml:space="preserve"> XE "Seasonal" </w:instrText>
      </w:r>
      <w:r w:rsidRPr="00653FE9">
        <w:fldChar w:fldCharType="end"/>
      </w:r>
      <w:r w:rsidRPr="00653FE9">
        <w:t xml:space="preserve"> agricultural or fishing</w:t>
      </w:r>
      <w:r w:rsidRPr="00653FE9">
        <w:fldChar w:fldCharType="begin"/>
      </w:r>
      <w:r w:rsidRPr="00653FE9">
        <w:instrText xml:space="preserve"> XE "Fishing Activity" </w:instrText>
      </w:r>
      <w:r w:rsidRPr="00653FE9">
        <w:fldChar w:fldCharType="end"/>
      </w:r>
      <w:r w:rsidRPr="00653FE9">
        <w:t xml:space="preserve"> workers in the local</w:t>
      </w:r>
      <w:r w:rsidRPr="00653FE9">
        <w:fldChar w:fldCharType="begin"/>
      </w:r>
      <w:r w:rsidRPr="00653FE9">
        <w:instrText xml:space="preserve"> XE "Local" </w:instrText>
      </w:r>
      <w:r w:rsidRPr="00653FE9">
        <w:fldChar w:fldCharType="end"/>
      </w:r>
      <w:r w:rsidRPr="00653FE9">
        <w:t xml:space="preserve"> recruiting area. When consolidated, these individual profiles will create an informational directory that the recruiter can expand over time, ultimately serving as the primary agricultural recruitment tool. This resource is not only beneficial to the current recruiter, but it also builds a historical record for future recruiters who may one day take over the region. A profi</w:t>
      </w:r>
      <w:r>
        <w:t xml:space="preserve">le survey form could include  </w:t>
      </w:r>
    </w:p>
    <w:p w14:paraId="2FDCB2A3" w14:textId="77777777" w:rsidR="00286DC1" w:rsidRPr="00653FE9" w:rsidRDefault="00286DC1" w:rsidP="005514ED">
      <w:pPr>
        <w:pStyle w:val="IDRListParagraph"/>
      </w:pPr>
      <w:r>
        <w:t>g</w:t>
      </w:r>
      <w:r w:rsidRPr="00653FE9">
        <w:t>eneral information regarding the workplace (</w:t>
      </w:r>
      <w:r>
        <w:t>e.g.,</w:t>
      </w:r>
      <w:r w:rsidRPr="00653FE9">
        <w:t xml:space="preserve"> name, owner, foreman, etc.)</w:t>
      </w:r>
      <w:r>
        <w:t>;</w:t>
      </w:r>
    </w:p>
    <w:p w14:paraId="40BDF327" w14:textId="77777777" w:rsidR="00286DC1" w:rsidRPr="00653FE9" w:rsidRDefault="00286DC1" w:rsidP="005514ED">
      <w:pPr>
        <w:pStyle w:val="IDRListParagraph"/>
      </w:pPr>
      <w:r>
        <w:t>d</w:t>
      </w:r>
      <w:r w:rsidRPr="00653FE9">
        <w:t>irections to the work</w:t>
      </w:r>
      <w:r>
        <w:t xml:space="preserve"> </w:t>
      </w:r>
      <w:r w:rsidRPr="00653FE9">
        <w:t>site</w:t>
      </w:r>
      <w:r>
        <w:t>;</w:t>
      </w:r>
    </w:p>
    <w:p w14:paraId="5225F423" w14:textId="77777777" w:rsidR="00286DC1" w:rsidRPr="00653FE9" w:rsidRDefault="00286DC1" w:rsidP="005514ED">
      <w:pPr>
        <w:pStyle w:val="IDRListParagraph"/>
      </w:pPr>
      <w:r>
        <w:t>c</w:t>
      </w:r>
      <w:r w:rsidRPr="00653FE9">
        <w:t>rops or products, hiring</w:t>
      </w:r>
      <w:r w:rsidRPr="00653FE9">
        <w:fldChar w:fldCharType="begin"/>
      </w:r>
      <w:r w:rsidRPr="00653FE9">
        <w:instrText xml:space="preserve"> XE "Hiring recruiters" </w:instrText>
      </w:r>
      <w:r w:rsidRPr="00653FE9">
        <w:fldChar w:fldCharType="end"/>
      </w:r>
      <w:r w:rsidRPr="00653FE9">
        <w:t xml:space="preserve"> practices (</w:t>
      </w:r>
      <w:r>
        <w:t>i.e.,</w:t>
      </w:r>
      <w:r w:rsidRPr="00653FE9">
        <w:t xml:space="preserve"> peak hiring dates)</w:t>
      </w:r>
      <w:r>
        <w:t>;</w:t>
      </w:r>
      <w:r w:rsidRPr="00653FE9">
        <w:t xml:space="preserve"> </w:t>
      </w:r>
    </w:p>
    <w:p w14:paraId="1513BBCF" w14:textId="77777777" w:rsidR="00286DC1" w:rsidRPr="00653FE9" w:rsidRDefault="00286DC1" w:rsidP="005514ED">
      <w:pPr>
        <w:pStyle w:val="IDRListParagraph"/>
      </w:pPr>
      <w:r>
        <w:t>h</w:t>
      </w:r>
      <w:r w:rsidRPr="00653FE9">
        <w:t>ousing offered</w:t>
      </w:r>
      <w:r>
        <w:t>; and</w:t>
      </w:r>
    </w:p>
    <w:p w14:paraId="3118A68D" w14:textId="77777777" w:rsidR="00286DC1" w:rsidRPr="00653FE9" w:rsidRDefault="00286DC1" w:rsidP="005514ED">
      <w:pPr>
        <w:pStyle w:val="IDRListParagraph"/>
        <w:spacing w:after="0"/>
      </w:pPr>
      <w:r>
        <w:t>o</w:t>
      </w:r>
      <w:r w:rsidRPr="00653FE9">
        <w:t>ther facts pertinent to the specific geographic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area or work conditions</w:t>
      </w:r>
      <w:r>
        <w:t>.</w:t>
      </w:r>
      <w:r w:rsidRPr="00653FE9">
        <w:t xml:space="preserve"> </w:t>
      </w:r>
    </w:p>
    <w:p w14:paraId="19BA4B76" w14:textId="77777777" w:rsidR="00286DC1" w:rsidRPr="00653FE9" w:rsidRDefault="00286DC1" w:rsidP="005514ED">
      <w:pPr>
        <w:pStyle w:val="IDRText"/>
      </w:pPr>
      <w:r w:rsidRPr="00653FE9">
        <w:lastRenderedPageBreak/>
        <w:t>The profile form could also include personal notes that are helpful for the recruiter’s future reference, such as where the employer</w:t>
      </w:r>
      <w:r w:rsidRPr="00653FE9">
        <w:fldChar w:fldCharType="begin"/>
      </w:r>
      <w:r w:rsidRPr="00653FE9">
        <w:instrText xml:space="preserve"> XE "Employer" </w:instrText>
      </w:r>
      <w:r w:rsidRPr="00653FE9">
        <w:fldChar w:fldCharType="end"/>
      </w:r>
      <w:r w:rsidRPr="00653FE9">
        <w:t xml:space="preserve"> prefers the recruiter to park or the best times of day to visit</w:t>
      </w:r>
      <w:r w:rsidRPr="00653FE9">
        <w:fldChar w:fldCharType="begin"/>
      </w:r>
      <w:r w:rsidRPr="00653FE9">
        <w:instrText xml:space="preserve"> XE "Visit" </w:instrText>
      </w:r>
      <w:r w:rsidRPr="00653FE9">
        <w:fldChar w:fldCharType="end"/>
      </w:r>
      <w:r>
        <w:t xml:space="preserve">. </w:t>
      </w:r>
      <w:r w:rsidRPr="00653FE9">
        <w:t>Additionally, profiles can reference safety concerns or anecdotes summarizing positive and negative experiences at the work site</w:t>
      </w:r>
      <w:r>
        <w:t xml:space="preserve">. </w:t>
      </w:r>
      <w:r w:rsidRPr="00653FE9">
        <w:t xml:space="preserve">A sample workplace survey form that can be used to gather profile data is included in </w:t>
      </w:r>
      <w:r w:rsidRPr="007738CE">
        <w:t>Appendix III</w:t>
      </w:r>
      <w:r>
        <w:t xml:space="preserve">. </w:t>
      </w:r>
      <w:r w:rsidRPr="00653FE9">
        <w:t xml:space="preserve">Other sample survey forms are also provided. </w:t>
      </w:r>
    </w:p>
    <w:p w14:paraId="1AEDB859" w14:textId="77777777" w:rsidR="00286DC1" w:rsidRPr="00653FE9" w:rsidRDefault="00286DC1" w:rsidP="005514ED">
      <w:pPr>
        <w:pStyle w:val="IDRText"/>
      </w:pPr>
      <w:r w:rsidRPr="00853D8D">
        <w:rPr>
          <w:rStyle w:val="IDRSub-section"/>
        </w:rPr>
        <w:t>School</w:t>
      </w:r>
      <w:r w:rsidRPr="00853D8D">
        <w:rPr>
          <w:rStyle w:val="IDRSub-section"/>
        </w:rPr>
        <w:fldChar w:fldCharType="begin"/>
      </w:r>
      <w:r w:rsidRPr="00853D8D">
        <w:rPr>
          <w:rStyle w:val="IDRSub-section"/>
        </w:rPr>
        <w:instrText xml:space="preserve"> XE "School" </w:instrText>
      </w:r>
      <w:r w:rsidRPr="00853D8D">
        <w:rPr>
          <w:rStyle w:val="IDRSub-section"/>
        </w:rPr>
        <w:fldChar w:fldCharType="end"/>
      </w:r>
      <w:r w:rsidRPr="00853D8D">
        <w:rPr>
          <w:rStyle w:val="IDRSub-section"/>
        </w:rPr>
        <w:t>s.</w:t>
      </w:r>
      <w:r w:rsidRPr="00853D8D">
        <w:t xml:space="preserve"> </w:t>
      </w:r>
      <w:r w:rsidRPr="00653FE9">
        <w:t xml:space="preserve">The local schools are another important source of information for the recruiter since schools </w:t>
      </w:r>
      <w:r w:rsidRPr="00653FE9">
        <w:fldChar w:fldCharType="begin"/>
      </w:r>
      <w:r w:rsidRPr="00653FE9">
        <w:instrText xml:space="preserve"> XE "Local" </w:instrText>
      </w:r>
      <w:r w:rsidRPr="00653FE9">
        <w:fldChar w:fldCharType="end"/>
      </w:r>
      <w:r w:rsidRPr="00653FE9">
        <w:t>collect information on every child</w:t>
      </w:r>
      <w:r w:rsidRPr="00653FE9">
        <w:fldChar w:fldCharType="begin"/>
      </w:r>
      <w:r w:rsidRPr="00653FE9">
        <w:instrText xml:space="preserve"> XE "Child" </w:instrText>
      </w:r>
      <w:r w:rsidRPr="00653FE9">
        <w:fldChar w:fldCharType="end"/>
      </w:r>
      <w:r w:rsidRPr="00653FE9">
        <w:t xml:space="preserve"> who enrolls and withdraws</w:t>
      </w:r>
      <w:r>
        <w:t xml:space="preserve">. </w:t>
      </w:r>
      <w:r w:rsidRPr="00653FE9">
        <w:t>Developing school-based information sources requires the recruiter to think about with whom migra</w:t>
      </w:r>
      <w:r>
        <w:t>tory</w:t>
      </w:r>
      <w:r w:rsidRPr="00653FE9">
        <w:t xml:space="preserve"> families are likely to interact within the school (</w:t>
      </w:r>
      <w:r>
        <w:t>e.g.,</w:t>
      </w:r>
      <w:r w:rsidRPr="00653FE9">
        <w:t xml:space="preserve"> school secretaries, registrars, attendance clerks, school nurses, guidance counselors, teachers, superintendents, principals, bus drivers, cafeteria workers, </w:t>
      </w:r>
      <w:r>
        <w:t xml:space="preserve">and staff members from </w:t>
      </w:r>
      <w:r w:rsidRPr="00653FE9">
        <w:t xml:space="preserve">Title I, Part A, and Title III </w:t>
      </w:r>
      <w:r>
        <w:t>programs</w:t>
      </w:r>
      <w:r w:rsidRPr="00653FE9">
        <w:t>)</w:t>
      </w:r>
      <w:r>
        <w:t xml:space="preserve">. </w:t>
      </w:r>
      <w:r w:rsidRPr="00653FE9">
        <w:t>For example, the family</w:t>
      </w:r>
      <w:r w:rsidRPr="00653FE9">
        <w:fldChar w:fldCharType="begin"/>
      </w:r>
      <w:r w:rsidRPr="00653FE9">
        <w:instrText xml:space="preserve"> XE "Family" </w:instrText>
      </w:r>
      <w:r w:rsidRPr="00653FE9">
        <w:fldChar w:fldCharType="end"/>
      </w:r>
      <w:r w:rsidRPr="00653FE9">
        <w:t xml:space="preserve"> will go to the main office to register, see the nurse to have immunization or health records</w:t>
      </w:r>
      <w:r w:rsidRPr="00653FE9">
        <w:fldChar w:fldCharType="begin"/>
      </w:r>
      <w:r w:rsidRPr="00653FE9">
        <w:instrText xml:space="preserve"> XE "Records" </w:instrText>
      </w:r>
      <w:r w:rsidRPr="00653FE9">
        <w:fldChar w:fldCharType="end"/>
      </w:r>
      <w:r w:rsidRPr="00653FE9">
        <w:t xml:space="preserve"> checked, and in the case of secondary students, visit</w:t>
      </w:r>
      <w:r w:rsidRPr="00653FE9">
        <w:fldChar w:fldCharType="begin"/>
      </w:r>
      <w:r w:rsidRPr="00653FE9">
        <w:instrText xml:space="preserve"> XE "Visit" </w:instrText>
      </w:r>
      <w:r w:rsidRPr="00653FE9">
        <w:fldChar w:fldCharType="end"/>
      </w:r>
      <w:r w:rsidRPr="00653FE9">
        <w:t xml:space="preserve"> a guidance counselor to develop the student’s class schedule</w:t>
      </w:r>
      <w:r w:rsidRPr="00653FE9">
        <w:fldChar w:fldCharType="begin"/>
      </w:r>
      <w:r w:rsidRPr="00653FE9">
        <w:instrText xml:space="preserve"> XE "Schedule" </w:instrText>
      </w:r>
      <w:r w:rsidRPr="00653FE9">
        <w:fldChar w:fldCharType="end"/>
      </w:r>
      <w:r w:rsidRPr="00653FE9">
        <w:t xml:space="preserve"> and check transcripts</w:t>
      </w:r>
      <w:r>
        <w:t xml:space="preserve">. </w:t>
      </w:r>
      <w:r w:rsidRPr="00653FE9">
        <w:t>A knowledgeable and cooperative secretary can be helpful to the recruiter by referring potentially eligible</w:t>
      </w:r>
      <w:r w:rsidRPr="00653FE9">
        <w:fldChar w:fldCharType="begin"/>
      </w:r>
      <w:r w:rsidRPr="00653FE9">
        <w:instrText xml:space="preserve"> XE "Eligibility" </w:instrText>
      </w:r>
      <w:r w:rsidRPr="00653FE9">
        <w:fldChar w:fldCharType="end"/>
      </w:r>
      <w:r w:rsidRPr="00653FE9">
        <w:t xml:space="preserve"> students and their families to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In many cases, migra</w:t>
      </w:r>
      <w:r>
        <w:t>tory</w:t>
      </w:r>
      <w:r w:rsidRPr="00653FE9">
        <w:t xml:space="preserve"> children ride school buses that transport them to and from school</w:t>
      </w:r>
      <w:r>
        <w:t xml:space="preserve">. </w:t>
      </w:r>
      <w:r w:rsidRPr="00653FE9">
        <w:t>When bus drivers are educated about basic eligibility requirements</w:t>
      </w:r>
      <w:r w:rsidRPr="00653FE9">
        <w:fldChar w:fldCharType="begin"/>
      </w:r>
      <w:r w:rsidRPr="00653FE9">
        <w:instrText xml:space="preserve"> XE “Requirements" </w:instrText>
      </w:r>
      <w:r w:rsidRPr="00653FE9">
        <w:fldChar w:fldCharType="end"/>
      </w:r>
      <w:r w:rsidRPr="00653FE9">
        <w:fldChar w:fldCharType="begin"/>
      </w:r>
      <w:r w:rsidRPr="00653FE9">
        <w:instrText xml:space="preserve"> XE "requirements" </w:instrText>
      </w:r>
      <w:r w:rsidRPr="00653FE9">
        <w:fldChar w:fldCharType="end"/>
      </w:r>
      <w:r w:rsidRPr="00653FE9">
        <w:t>, they can inform the recruiter when new children board the school bus at places where farmworkers often live</w:t>
      </w:r>
      <w:r>
        <w:t xml:space="preserve">. </w:t>
      </w:r>
      <w:r w:rsidRPr="00653FE9">
        <w:t>It is important to ensure that these valuable contacts are aware of the MEP and know how to contact the recruiter with leads</w:t>
      </w:r>
      <w:r>
        <w:t xml:space="preserve">. </w:t>
      </w:r>
    </w:p>
    <w:p w14:paraId="2CC5F6F0" w14:textId="77777777" w:rsidR="00286DC1" w:rsidRPr="00853D8D" w:rsidRDefault="00286DC1" w:rsidP="00853D8D">
      <w:pPr>
        <w:pStyle w:val="IDRText"/>
      </w:pPr>
      <w:r w:rsidRPr="00653FE9">
        <w:t>It is also important to carefully establish and nurture a relationship with district and/or school</w:t>
      </w:r>
      <w:r w:rsidRPr="00653FE9">
        <w:fldChar w:fldCharType="begin"/>
      </w:r>
      <w:r w:rsidRPr="00653FE9">
        <w:instrText xml:space="preserve"> XE "School" </w:instrText>
      </w:r>
      <w:r w:rsidRPr="00653FE9">
        <w:fldChar w:fldCharType="end"/>
      </w:r>
      <w:r w:rsidRPr="00653FE9">
        <w:t xml:space="preserve"> administrators</w:t>
      </w:r>
      <w:r>
        <w:t xml:space="preserve">. </w:t>
      </w:r>
      <w:r w:rsidRPr="00653FE9">
        <w:t>Administrators can support</w:t>
      </w:r>
      <w:r w:rsidRPr="00653FE9">
        <w:fldChar w:fldCharType="begin"/>
      </w:r>
      <w:r w:rsidRPr="00653FE9">
        <w:instrText xml:space="preserve"> XE “Support" </w:instrText>
      </w:r>
      <w:r w:rsidRPr="00653FE9">
        <w:fldChar w:fldCharType="end"/>
      </w:r>
      <w:r w:rsidRPr="00653FE9">
        <w:fldChar w:fldCharType="begin"/>
      </w:r>
      <w:r w:rsidRPr="00653FE9">
        <w:instrText xml:space="preserve"> XE "support" </w:instrText>
      </w:r>
      <w:r w:rsidRPr="00653FE9">
        <w:fldChar w:fldCharType="end"/>
      </w:r>
      <w:r w:rsidRPr="00653FE9">
        <w:t xml:space="preserve"> the recruiter’s efforts by providing access to key district or school staff, providing information on newly arrived children, and communicating throughout the system that the recruiter’s work is important to the district, schools, and families. </w:t>
      </w:r>
    </w:p>
    <w:p w14:paraId="419F2F67" w14:textId="77777777" w:rsidR="00286DC1" w:rsidRPr="00653FE9" w:rsidRDefault="00286DC1" w:rsidP="00CC1821">
      <w:pPr>
        <w:pStyle w:val="OMEHeading2"/>
      </w:pPr>
      <w:bookmarkStart w:id="17" w:name="_Toc334607932"/>
      <w:bookmarkStart w:id="18" w:name="_Toc334799901"/>
      <w:bookmarkStart w:id="19" w:name="_Toc524948308"/>
      <w:r w:rsidRPr="00653FE9">
        <w:t>Community</w:t>
      </w:r>
      <w:r w:rsidRPr="00653FE9">
        <w:fldChar w:fldCharType="begin"/>
      </w:r>
      <w:r w:rsidRPr="00653FE9">
        <w:instrText xml:space="preserve"> XE "Community" </w:instrText>
      </w:r>
      <w:r w:rsidRPr="00653FE9">
        <w:fldChar w:fldCharType="end"/>
      </w:r>
      <w:r w:rsidRPr="00653FE9">
        <w:t>-</w:t>
      </w:r>
      <w:r>
        <w:t>b</w:t>
      </w:r>
      <w:r w:rsidRPr="00653FE9">
        <w:t>ased Organizations and Commercial Establishments</w:t>
      </w:r>
      <w:bookmarkEnd w:id="17"/>
      <w:bookmarkEnd w:id="18"/>
      <w:bookmarkEnd w:id="19"/>
    </w:p>
    <w:p w14:paraId="12EA5092" w14:textId="77777777" w:rsidR="00286DC1" w:rsidRPr="00853D8D" w:rsidRDefault="00286DC1" w:rsidP="00577FD4">
      <w:pPr>
        <w:pStyle w:val="IDRCallout"/>
      </w:pPr>
      <w:r w:rsidRPr="00AA2B80">
        <w:t>We get permission from the local</w:t>
      </w:r>
      <w:r w:rsidRPr="00AA2B80">
        <w:fldChar w:fldCharType="begin"/>
      </w:r>
      <w:r w:rsidRPr="00AA2B80">
        <w:instrText xml:space="preserve"> XE "Local" </w:instrText>
      </w:r>
      <w:r w:rsidRPr="00AA2B80">
        <w:fldChar w:fldCharType="end"/>
      </w:r>
      <w:r w:rsidRPr="00AA2B80">
        <w:t xml:space="preserve"> grocery stores </w:t>
      </w:r>
      <w:r>
        <w:t>where</w:t>
      </w:r>
      <w:r w:rsidRPr="00AA2B80">
        <w:t xml:space="preserve"> migra</w:t>
      </w:r>
      <w:r>
        <w:t>tory</w:t>
      </w:r>
      <w:r w:rsidRPr="00AA2B80">
        <w:t xml:space="preserve"> workers shop most </w:t>
      </w:r>
      <w:r>
        <w:t>frequently</w:t>
      </w:r>
      <w:r w:rsidRPr="00AA2B80">
        <w:t xml:space="preserve"> to put flyers about the </w:t>
      </w:r>
      <w:r>
        <w:t>MEP</w:t>
      </w:r>
      <w:r w:rsidRPr="00AA2B80">
        <w:fldChar w:fldCharType="begin"/>
      </w:r>
      <w:r w:rsidRPr="00AA2B80">
        <w:instrText xml:space="preserve"> XE "Migrant Education Program" </w:instrText>
      </w:r>
      <w:r w:rsidRPr="00AA2B80">
        <w:fldChar w:fldCharType="end"/>
      </w:r>
      <w:r w:rsidRPr="00AA2B80">
        <w:t xml:space="preserve"> in grocery bags.</w:t>
      </w:r>
      <w:r w:rsidRPr="00AA2B80" w:rsidDel="003B4D45">
        <w:t xml:space="preserve"> </w:t>
      </w:r>
      <w:r w:rsidRPr="00AA2B80">
        <w:fldChar w:fldCharType="begin"/>
      </w:r>
      <w:r w:rsidRPr="00AA2B80">
        <w:instrText xml:space="preserve"> XE "State" </w:instrText>
      </w:r>
      <w:r w:rsidRPr="00AA2B80">
        <w:fldChar w:fldCharType="end"/>
      </w:r>
      <w:r w:rsidRPr="00AA2B80">
        <w:fldChar w:fldCharType="begin"/>
      </w:r>
      <w:r w:rsidRPr="00AA2B80">
        <w:instrText xml:space="preserve"> XE "MEP" </w:instrText>
      </w:r>
      <w:r w:rsidRPr="00AA2B80">
        <w:fldChar w:fldCharType="end"/>
      </w:r>
      <w:r w:rsidRPr="00AA2B80">
        <w:fldChar w:fldCharType="begin"/>
      </w:r>
      <w:r w:rsidRPr="00AA2B80">
        <w:instrText xml:space="preserve"> XE "Migrant Education Program" </w:instrText>
      </w:r>
      <w:r w:rsidRPr="00AA2B80">
        <w:fldChar w:fldCharType="end"/>
      </w:r>
    </w:p>
    <w:p w14:paraId="4221B5D3" w14:textId="77777777" w:rsidR="00286DC1" w:rsidRPr="00653FE9" w:rsidRDefault="00286DC1" w:rsidP="005514ED">
      <w:pPr>
        <w:pStyle w:val="IDRText"/>
      </w:pPr>
      <w:r w:rsidRPr="00653FE9">
        <w:t>Many local</w:t>
      </w:r>
      <w:r w:rsidRPr="00653FE9">
        <w:fldChar w:fldCharType="begin"/>
      </w:r>
      <w:r w:rsidRPr="00653FE9">
        <w:instrText xml:space="preserve"> XE "Local" </w:instrText>
      </w:r>
      <w:r w:rsidRPr="00653FE9">
        <w:fldChar w:fldCharType="end"/>
      </w:r>
      <w:r w:rsidRPr="00653FE9">
        <w:t xml:space="preserve"> community organizations are funded to provide outreach, social, health, or legal services to migra</w:t>
      </w:r>
      <w:r>
        <w:t>tory</w:t>
      </w:r>
      <w:r w:rsidRPr="00653FE9">
        <w:t xml:space="preserve"> and seasonal</w:t>
      </w:r>
      <w:r w:rsidRPr="00653FE9">
        <w:fldChar w:fldCharType="begin"/>
      </w:r>
      <w:r w:rsidRPr="00653FE9">
        <w:instrText xml:space="preserve"> XE "Seasonal" </w:instrText>
      </w:r>
      <w:r w:rsidRPr="00653FE9">
        <w:fldChar w:fldCharType="end"/>
      </w:r>
      <w:r w:rsidRPr="00653FE9">
        <w:t xml:space="preserve"> farmworkers</w:t>
      </w:r>
      <w:r>
        <w:t xml:space="preserve">. </w:t>
      </w:r>
      <w:r w:rsidRPr="00653FE9">
        <w:t>The recruiter should think about which organizations and services migra</w:t>
      </w:r>
      <w:r>
        <w:t>tory</w:t>
      </w:r>
      <w:r w:rsidRPr="00653FE9">
        <w:t xml:space="preserve"> families and OSY are most likely to use in the local community</w:t>
      </w:r>
      <w:r>
        <w:t xml:space="preserve">. </w:t>
      </w:r>
      <w:r w:rsidRPr="00653FE9">
        <w:t>For example, migra</w:t>
      </w:r>
      <w:r>
        <w:t>tory</w:t>
      </w:r>
      <w:r w:rsidRPr="00653FE9">
        <w:t xml:space="preserve"> families may attend local churches, wash their clothes at the local </w:t>
      </w:r>
      <w:r>
        <w:rPr>
          <w:lang w:val="en-US"/>
        </w:rPr>
        <w:t>l</w:t>
      </w:r>
      <w:r w:rsidRPr="00653FE9">
        <w:t>aundromat, shop at local ethnic food markets and flea markets, enroll in ESL classes, enroll their children in Head Start</w:t>
      </w:r>
      <w:r w:rsidRPr="00653FE9">
        <w:fldChar w:fldCharType="begin"/>
      </w:r>
      <w:r w:rsidRPr="00653FE9">
        <w:instrText xml:space="preserve"> XE "Head Start" </w:instrText>
      </w:r>
      <w:r w:rsidRPr="00653FE9">
        <w:fldChar w:fldCharType="end"/>
      </w:r>
      <w:r w:rsidRPr="00653FE9">
        <w:t>, visit community health centers, and use local cultural</w:t>
      </w:r>
      <w:r w:rsidRPr="00653FE9">
        <w:fldChar w:fldCharType="begin"/>
      </w:r>
      <w:r w:rsidRPr="00653FE9">
        <w:instrText xml:space="preserve"> XE "Culture; cultural" </w:instrText>
      </w:r>
      <w:r w:rsidRPr="00653FE9">
        <w:fldChar w:fldCharType="end"/>
      </w:r>
      <w:r w:rsidRPr="00653FE9">
        <w:t xml:space="preserve"> centers</w:t>
      </w:r>
      <w:r>
        <w:t xml:space="preserve">. </w:t>
      </w:r>
      <w:r w:rsidRPr="00653FE9">
        <w:t>They may also receive benefits from local service agencies or farmworker organizations</w:t>
      </w:r>
      <w:r>
        <w:t xml:space="preserve">. </w:t>
      </w:r>
      <w:r w:rsidRPr="00653FE9">
        <w:t>The recruiter should also think about which agencies and organizations collect data on migra</w:t>
      </w:r>
      <w:r>
        <w:t>tory</w:t>
      </w:r>
      <w:r w:rsidRPr="00653FE9">
        <w:t xml:space="preserve"> workers or communicate with farmers in the area (</w:t>
      </w:r>
      <w:r>
        <w:t>e.g.,</w:t>
      </w:r>
      <w:r w:rsidRPr="00653FE9">
        <w:t xml:space="preserve"> farm bureaus, growers’ associations)</w:t>
      </w:r>
      <w:r>
        <w:t xml:space="preserve">. </w:t>
      </w:r>
    </w:p>
    <w:p w14:paraId="22492FC1" w14:textId="77777777" w:rsidR="00286DC1" w:rsidRPr="00653FE9" w:rsidRDefault="00286DC1" w:rsidP="005514ED">
      <w:pPr>
        <w:pStyle w:val="IDRText"/>
      </w:pPr>
      <w:r w:rsidRPr="00653FE9">
        <w:t xml:space="preserve">As with the employers, the recruiter should develop a listing or profile of the businesses or organizations that are the best sources for locating </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migra</w:t>
      </w:r>
      <w:r>
        <w:t>tory</w:t>
      </w:r>
      <w:r w:rsidRPr="00653FE9">
        <w:t xml:space="preserve"> families and OSY</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Some communities have interagency committees that work together to coordinate the services that they provide to migra</w:t>
      </w:r>
      <w:r>
        <w:t>tory</w:t>
      </w:r>
      <w:r w:rsidRPr="00653FE9">
        <w:t xml:space="preserve"> families and OSY, and may even have community</w:t>
      </w:r>
      <w:r w:rsidRPr="00653FE9">
        <w:fldChar w:fldCharType="begin"/>
      </w:r>
      <w:r w:rsidRPr="00653FE9">
        <w:instrText xml:space="preserve"> XE "Community" </w:instrText>
      </w:r>
      <w:r w:rsidRPr="00653FE9">
        <w:fldChar w:fldCharType="end"/>
      </w:r>
      <w:r w:rsidRPr="00653FE9">
        <w:t xml:space="preserve"> service fairs for migra</w:t>
      </w:r>
      <w:r>
        <w:t>tory</w:t>
      </w:r>
      <w:r w:rsidRPr="00653FE9">
        <w:t xml:space="preserve"> workers during </w:t>
      </w:r>
      <w:r w:rsidRPr="00653FE9">
        <w:lastRenderedPageBreak/>
        <w:t>peak hiring</w:t>
      </w:r>
      <w:r w:rsidRPr="00653FE9">
        <w:fldChar w:fldCharType="begin"/>
      </w:r>
      <w:r w:rsidRPr="00653FE9">
        <w:instrText xml:space="preserve"> XE "Hiring recruiters" </w:instrText>
      </w:r>
      <w:r w:rsidRPr="00653FE9">
        <w:fldChar w:fldCharType="end"/>
      </w:r>
      <w:r w:rsidRPr="00653FE9">
        <w:t xml:space="preserve"> periods</w:t>
      </w:r>
      <w:r>
        <w:t xml:space="preserve">. </w:t>
      </w:r>
      <w:r w:rsidRPr="00653FE9">
        <w:t>At service fairs, local</w:t>
      </w:r>
      <w:r w:rsidRPr="00653FE9">
        <w:fldChar w:fldCharType="begin"/>
      </w:r>
      <w:r w:rsidRPr="00653FE9">
        <w:instrText xml:space="preserve"> XE "Local" </w:instrText>
      </w:r>
      <w:r w:rsidRPr="00653FE9">
        <w:fldChar w:fldCharType="end"/>
      </w:r>
      <w:r w:rsidRPr="00653FE9">
        <w:t xml:space="preserve"> service providers typically set up temporary</w:t>
      </w:r>
      <w:r w:rsidRPr="00653FE9">
        <w:fldChar w:fldCharType="begin"/>
      </w:r>
      <w:r w:rsidRPr="00653FE9">
        <w:instrText xml:space="preserve"> XE "Temporary" </w:instrText>
      </w:r>
      <w:r w:rsidRPr="00653FE9">
        <w:fldChar w:fldCharType="end"/>
      </w:r>
      <w:r w:rsidRPr="00653FE9">
        <w:t xml:space="preserve"> intake offices in a single location to allow migra</w:t>
      </w:r>
      <w:r>
        <w:t>tory</w:t>
      </w:r>
      <w:r w:rsidRPr="00653FE9">
        <w:t xml:space="preserve"> families to sign up for a number of benefits and services at one time</w:t>
      </w:r>
      <w:r>
        <w:t xml:space="preserve">. </w:t>
      </w:r>
      <w:r w:rsidRPr="00653FE9">
        <w:t>This provides a great opportunity for recruiters to enroll migra</w:t>
      </w:r>
      <w:r>
        <w:t>tory</w:t>
      </w:r>
      <w:r w:rsidRPr="00653FE9">
        <w:t xml:space="preserve"> children</w:t>
      </w:r>
      <w:r w:rsidRPr="00653FE9">
        <w:fldChar w:fldCharType="begin"/>
      </w:r>
      <w:r w:rsidRPr="00653FE9">
        <w:instrText xml:space="preserve"> XE "Youth" </w:instrText>
      </w:r>
      <w:r w:rsidRPr="00653FE9">
        <w:fldChar w:fldCharType="end"/>
      </w:r>
      <w:r w:rsidRPr="00653FE9">
        <w:t xml:space="preserve"> in the MEP and to share important information.</w:t>
      </w:r>
    </w:p>
    <w:p w14:paraId="6CB9B941" w14:textId="77777777" w:rsidR="00286DC1" w:rsidRPr="00653FE9" w:rsidRDefault="00286DC1" w:rsidP="005514ED">
      <w:pPr>
        <w:pStyle w:val="IDRText"/>
      </w:pPr>
      <w:r w:rsidRPr="00653FE9">
        <w:t>Temporary agencies are another good source for finding leads on seasonal and temporary farmworkers. Many temp agencies provide workers for farms and processing plants on a regular basis. Working with these agencies may open another door to potentially eligible migra</w:t>
      </w:r>
      <w:r>
        <w:t>tory</w:t>
      </w:r>
      <w:r w:rsidRPr="00653FE9">
        <w:t xml:space="preserve"> families.</w:t>
      </w:r>
    </w:p>
    <w:p w14:paraId="2C04F105" w14:textId="77777777" w:rsidR="00286DC1" w:rsidRPr="00853D8D" w:rsidRDefault="00286DC1" w:rsidP="005514ED">
      <w:pPr>
        <w:pStyle w:val="IDRText"/>
      </w:pPr>
      <w:r w:rsidRPr="00653FE9">
        <w:t>It is also important for the recruiter to think about where migra</w:t>
      </w:r>
      <w:r>
        <w:t>tory</w:t>
      </w:r>
      <w:r w:rsidRPr="00653FE9">
        <w:t xml:space="preserve"> families are likely to live, such as migra</w:t>
      </w:r>
      <w:r>
        <w:t>tory</w:t>
      </w:r>
      <w:r w:rsidRPr="00653FE9">
        <w:t xml:space="preserve"> labor camps, local</w:t>
      </w:r>
      <w:r w:rsidRPr="00653FE9">
        <w:fldChar w:fldCharType="begin"/>
      </w:r>
      <w:r w:rsidRPr="00653FE9">
        <w:instrText xml:space="preserve"> XE "Local" </w:instrText>
      </w:r>
      <w:r w:rsidRPr="00653FE9">
        <w:fldChar w:fldCharType="end"/>
      </w:r>
      <w:r w:rsidRPr="00653FE9">
        <w:t xml:space="preserve"> apartment complexes that offer month-to-month leases, or shared houses or trailers (sometimes located on the farm itself)</w:t>
      </w:r>
      <w:r>
        <w:t xml:space="preserve">. </w:t>
      </w:r>
      <w:r w:rsidRPr="00653FE9">
        <w:t>The recruiter should cultivate relationships with the owners or managers of these housing units because they can become vital members of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t xml:space="preserve">. </w:t>
      </w:r>
      <w:r w:rsidRPr="00653FE9">
        <w:t>For example, they can alert the recruiter when migra</w:t>
      </w:r>
      <w:r>
        <w:t>tory workers</w:t>
      </w:r>
      <w:r w:rsidRPr="00653FE9">
        <w:t xml:space="preserve"> begin moving into the community</w:t>
      </w:r>
      <w:r w:rsidRPr="00653FE9">
        <w:fldChar w:fldCharType="begin"/>
      </w:r>
      <w:r w:rsidRPr="00653FE9">
        <w:instrText xml:space="preserve"> XE "Community" </w:instrText>
      </w:r>
      <w:r w:rsidRPr="00653FE9">
        <w:fldChar w:fldCharType="end"/>
      </w:r>
      <w:r>
        <w:t xml:space="preserve">. </w:t>
      </w:r>
      <w:r w:rsidRPr="00653FE9">
        <w:t>The recruiter should visit</w:t>
      </w:r>
      <w:r w:rsidRPr="00653FE9">
        <w:fldChar w:fldCharType="begin"/>
      </w:r>
      <w:r w:rsidRPr="00653FE9">
        <w:instrText xml:space="preserve"> XE "Visit" </w:instrText>
      </w:r>
      <w:r w:rsidRPr="00653FE9">
        <w:fldChar w:fldCharType="end"/>
      </w:r>
      <w:r w:rsidRPr="00653FE9">
        <w:t xml:space="preserve"> migra</w:t>
      </w:r>
      <w:r>
        <w:t>tory</w:t>
      </w:r>
      <w:r w:rsidRPr="00653FE9">
        <w:t xml:space="preserve"> housing regularly since housing complexes that have previously housed migra</w:t>
      </w:r>
      <w:r>
        <w:t>tory</w:t>
      </w:r>
      <w:r w:rsidRPr="00653FE9">
        <w:t xml:space="preserve"> families and/or OSY may have changed policies for accepting new tenants</w:t>
      </w:r>
      <w:r>
        <w:t xml:space="preserve">. </w:t>
      </w:r>
      <w:r w:rsidRPr="00653FE9">
        <w:t xml:space="preserve">In this case, the recruiter will need to determine where these workers now reside and start building a relationship with the owners or managers of those units. </w:t>
      </w:r>
    </w:p>
    <w:p w14:paraId="549F10C7" w14:textId="77777777" w:rsidR="00286DC1" w:rsidRPr="00853D8D" w:rsidRDefault="00286DC1" w:rsidP="00853D8D">
      <w:pPr>
        <w:pStyle w:val="IDRCallout"/>
      </w:pPr>
      <w:r w:rsidRPr="00AA2B80">
        <w:t xml:space="preserve">Some organizations may not be able to share their contact </w:t>
      </w:r>
      <w:proofErr w:type="gramStart"/>
      <w:r w:rsidRPr="00AA2B80">
        <w:t>lists, but</w:t>
      </w:r>
      <w:proofErr w:type="gramEnd"/>
      <w:r w:rsidRPr="00AA2B80">
        <w:t xml:space="preserve"> may be willing to include information about the MEP</w:t>
      </w:r>
      <w:r w:rsidRPr="00AA2B80">
        <w:fldChar w:fldCharType="begin"/>
      </w:r>
      <w:r w:rsidRPr="00AA2B80">
        <w:instrText xml:space="preserve"> XE "Migrant Education Program" </w:instrText>
      </w:r>
      <w:r w:rsidRPr="00AA2B80">
        <w:fldChar w:fldCharType="end"/>
      </w:r>
      <w:r w:rsidRPr="00AA2B80">
        <w:t xml:space="preserve"> in mailings that they send out to local</w:t>
      </w:r>
      <w:r w:rsidRPr="00AA2B80">
        <w:fldChar w:fldCharType="begin"/>
      </w:r>
      <w:r w:rsidRPr="00AA2B80">
        <w:instrText xml:space="preserve"> XE "Local" </w:instrText>
      </w:r>
      <w:r w:rsidRPr="00AA2B80">
        <w:fldChar w:fldCharType="end"/>
      </w:r>
      <w:r w:rsidR="00853D8D">
        <w:t xml:space="preserve"> farmers.</w:t>
      </w:r>
      <w:r w:rsidR="00853D8D" w:rsidRPr="00853D8D">
        <w:t xml:space="preserve"> </w:t>
      </w:r>
      <w:r w:rsidR="00853D8D" w:rsidRPr="00853D8D">
        <w:tab/>
      </w:r>
    </w:p>
    <w:p w14:paraId="75537277" w14:textId="77777777" w:rsidR="00286DC1" w:rsidRDefault="00286DC1" w:rsidP="005514ED">
      <w:pPr>
        <w:pStyle w:val="IDRText"/>
      </w:pPr>
      <w:r w:rsidRPr="00853D8D">
        <w:rPr>
          <w:rStyle w:val="IDRSub-section"/>
        </w:rPr>
        <w:t>Other Government Agencies.</w:t>
      </w:r>
      <w:r w:rsidRPr="00853D8D">
        <w:t xml:space="preserve"> </w:t>
      </w:r>
      <w:r w:rsidRPr="00653FE9">
        <w:t>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is not the only government program that serves the migra</w:t>
      </w:r>
      <w:r>
        <w:t>tory</w:t>
      </w:r>
      <w:r w:rsidRPr="00653FE9">
        <w:t xml:space="preserve"> community</w:t>
      </w:r>
      <w:r w:rsidRPr="00653FE9">
        <w:fldChar w:fldCharType="begin"/>
      </w:r>
      <w:r w:rsidRPr="00653FE9">
        <w:instrText xml:space="preserve"> XE "Community" </w:instrText>
      </w:r>
      <w:r w:rsidRPr="00653FE9">
        <w:fldChar w:fldCharType="end"/>
      </w:r>
      <w:r>
        <w:t xml:space="preserve">. </w:t>
      </w:r>
      <w:r w:rsidRPr="00653FE9">
        <w:t>For example, the U.S. Department of Health and Human Services’ Health Resources and Services Administration (</w:t>
      </w:r>
      <w:r w:rsidRPr="00853D8D">
        <w:t xml:space="preserve">HRSA) provides grants to public and nonprofit health centers </w:t>
      </w:r>
      <w:r w:rsidRPr="00653FE9">
        <w:t xml:space="preserve">that </w:t>
      </w:r>
      <w:r w:rsidRPr="001A419B">
        <w:t>support</w:t>
      </w:r>
      <w:r w:rsidRPr="001A419B">
        <w:fldChar w:fldCharType="begin"/>
      </w:r>
      <w:r w:rsidRPr="001A419B">
        <w:instrText xml:space="preserve"> XE "support" </w:instrText>
      </w:r>
      <w:r w:rsidRPr="001A419B">
        <w:fldChar w:fldCharType="end"/>
      </w:r>
      <w:r w:rsidRPr="001A419B">
        <w:t xml:space="preserve"> the development and operation of </w:t>
      </w:r>
      <w:r w:rsidRPr="007738CE">
        <w:t>migrant clinic sites</w:t>
      </w:r>
      <w:r>
        <w:t xml:space="preserve"> </w:t>
      </w:r>
      <w:r w:rsidRPr="001A419B">
        <w:t>throughout th</w:t>
      </w:r>
      <w:r>
        <w:t>e United States and Puerto Rico</w:t>
      </w:r>
      <w:r w:rsidR="002041B1">
        <w:t xml:space="preserve"> (</w:t>
      </w:r>
      <w:hyperlink r:id="rId13" w:history="1">
        <w:r w:rsidR="002041B1" w:rsidRPr="003F1FEC">
          <w:rPr>
            <w:rStyle w:val="Hyperlink"/>
          </w:rPr>
          <w:t>https://bphc.hrsa.gov/uds/datacenter.aspx?fd=mh</w:t>
        </w:r>
      </w:hyperlink>
      <w:r w:rsidR="002041B1" w:rsidRPr="003B6644">
        <w:t>)</w:t>
      </w:r>
      <w:r>
        <w:t>.</w:t>
      </w:r>
    </w:p>
    <w:p w14:paraId="1D5B26B5" w14:textId="77777777" w:rsidR="00286DC1" w:rsidRPr="00653FE9" w:rsidRDefault="00286DC1" w:rsidP="005514ED">
      <w:pPr>
        <w:pStyle w:val="IDRText"/>
      </w:pPr>
      <w:r w:rsidRPr="001A419B">
        <w:t>The Migrant and</w:t>
      </w:r>
      <w:r w:rsidRPr="00653FE9">
        <w:t xml:space="preserve"> Seasonal Head Start Program provides grants to local</w:t>
      </w:r>
      <w:r w:rsidRPr="00653FE9">
        <w:fldChar w:fldCharType="begin"/>
      </w:r>
      <w:r w:rsidRPr="00653FE9">
        <w:instrText xml:space="preserve"> XE "Local" </w:instrText>
      </w:r>
      <w:r w:rsidRPr="00653FE9">
        <w:fldChar w:fldCharType="end"/>
      </w:r>
      <w:r w:rsidRPr="00653FE9">
        <w:t xml:space="preserve"> public and private non-profit and for-profit agencies to provide comprehensive child</w:t>
      </w:r>
      <w:r w:rsidRPr="00653FE9">
        <w:fldChar w:fldCharType="begin"/>
      </w:r>
      <w:r w:rsidRPr="00653FE9">
        <w:instrText xml:space="preserve"> XE "Child" </w:instrText>
      </w:r>
      <w:r w:rsidRPr="00653FE9">
        <w:fldChar w:fldCharType="end"/>
      </w:r>
      <w:r w:rsidRPr="00653FE9">
        <w:t xml:space="preserve"> development services to preschool children of migra</w:t>
      </w:r>
      <w:r>
        <w:t>tory</w:t>
      </w:r>
      <w:r w:rsidRPr="00653FE9">
        <w:t xml:space="preserve"> and seasonal</w:t>
      </w:r>
      <w:r w:rsidRPr="00653FE9">
        <w:fldChar w:fldCharType="begin"/>
      </w:r>
      <w:r w:rsidRPr="00653FE9">
        <w:instrText xml:space="preserve"> XE "Seasonal" </w:instrText>
      </w:r>
      <w:r w:rsidRPr="00653FE9">
        <w:fldChar w:fldCharType="end"/>
      </w:r>
      <w:r w:rsidRPr="00653FE9">
        <w:t xml:space="preserve"> farmworkers and their families, with a special focus on helping preschoolers develop the early reading and math skills they need to be successful in school</w:t>
      </w:r>
      <w:r w:rsidRPr="00653FE9">
        <w:fldChar w:fldCharType="begin"/>
      </w:r>
      <w:r w:rsidRPr="00653FE9">
        <w:instrText xml:space="preserve"> XE "School" </w:instrText>
      </w:r>
      <w:r w:rsidRPr="00653FE9">
        <w:fldChar w:fldCharType="end"/>
      </w:r>
      <w:r>
        <w:t xml:space="preserve">. </w:t>
      </w:r>
      <w:r w:rsidRPr="00653FE9">
        <w:t>Other programs that serve the migra</w:t>
      </w:r>
      <w:r>
        <w:t>tory</w:t>
      </w:r>
      <w:r w:rsidRPr="00653FE9">
        <w:t xml:space="preserve"> </w:t>
      </w:r>
      <w:r w:rsidRPr="00853D8D">
        <w:t>community may include the Women, Infants, and Children (WIC</w:t>
      </w:r>
      <w:r w:rsidRPr="00853D8D">
        <w:fldChar w:fldCharType="begin"/>
      </w:r>
      <w:r w:rsidRPr="00853D8D">
        <w:instrText xml:space="preserve"> XE "Women, Infant and Children: WIC" </w:instrText>
      </w:r>
      <w:r w:rsidRPr="00853D8D">
        <w:fldChar w:fldCharType="end"/>
      </w:r>
      <w:r w:rsidRPr="00853D8D">
        <w:t xml:space="preserve">) Program, the Housing Assistance Council, the Migrant Clinicians Network, </w:t>
      </w:r>
      <w:r w:rsidRPr="00853D8D">
        <w:fldChar w:fldCharType="begin"/>
      </w:r>
      <w:r w:rsidRPr="00853D8D">
        <w:instrText xml:space="preserve"> XE "Migrant Legal Action Program" </w:instrText>
      </w:r>
      <w:r w:rsidRPr="00853D8D">
        <w:fldChar w:fldCharType="end"/>
      </w:r>
      <w:r w:rsidRPr="00853D8D">
        <w:t>and Head Start</w:t>
      </w:r>
      <w:r w:rsidRPr="00853D8D">
        <w:fldChar w:fldCharType="begin"/>
      </w:r>
      <w:r w:rsidRPr="00853D8D">
        <w:instrText xml:space="preserve"> XE "Head Start" </w:instrText>
      </w:r>
      <w:r w:rsidRPr="00853D8D">
        <w:fldChar w:fldCharType="end"/>
      </w:r>
      <w:r w:rsidRPr="00853D8D">
        <w:t xml:space="preserve"> Centers. The recruiter should keep in mind that not all organizations have the same definition of </w:t>
      </w:r>
      <w:r w:rsidRPr="00653FE9">
        <w:t xml:space="preserve">“migrant” </w:t>
      </w:r>
      <w:r>
        <w:t xml:space="preserve">or “migratory” </w:t>
      </w:r>
      <w:r w:rsidRPr="00653FE9">
        <w:t>as the MEP, and should check with each organization before referring clients</w:t>
      </w:r>
      <w:r>
        <w:t xml:space="preserve">. </w:t>
      </w:r>
      <w:r w:rsidRPr="00653FE9">
        <w:t>The recruiter should also realize that not everyone who is served by these programs is eligible</w:t>
      </w:r>
      <w:r w:rsidRPr="00653FE9">
        <w:fldChar w:fldCharType="begin"/>
      </w:r>
      <w:r w:rsidRPr="00653FE9">
        <w:instrText xml:space="preserve"> XE "Eligibility" </w:instrText>
      </w:r>
      <w:r w:rsidRPr="00653FE9">
        <w:fldChar w:fldCharType="end"/>
      </w:r>
      <w:r w:rsidRPr="00653FE9">
        <w:t xml:space="preserve"> for MEP services.</w:t>
      </w:r>
    </w:p>
    <w:p w14:paraId="4CE8C1C0" w14:textId="77777777" w:rsidR="00286DC1" w:rsidRPr="00653FE9" w:rsidRDefault="00286DC1" w:rsidP="005514ED">
      <w:pPr>
        <w:pStyle w:val="IDRText"/>
      </w:pPr>
      <w:r w:rsidRPr="001A419B">
        <w:t>Each state</w:t>
      </w:r>
      <w:r w:rsidRPr="001A419B">
        <w:fldChar w:fldCharType="begin"/>
      </w:r>
      <w:r w:rsidRPr="001A419B">
        <w:instrText xml:space="preserve"> XE "State" </w:instrText>
      </w:r>
      <w:r w:rsidRPr="001A419B">
        <w:fldChar w:fldCharType="end"/>
      </w:r>
      <w:r w:rsidRPr="001A419B">
        <w:t xml:space="preserve"> has a land grant college or university that addresses agricultural issues and supports a statewide system of </w:t>
      </w:r>
      <w:r w:rsidRPr="00853D8D">
        <w:t>Cooperative Extension</w:t>
      </w:r>
      <w:r w:rsidRPr="00853D8D">
        <w:fldChar w:fldCharType="begin"/>
      </w:r>
      <w:r w:rsidRPr="00853D8D">
        <w:instrText xml:space="preserve"> XE "Cooperative Extension Service" </w:instrText>
      </w:r>
      <w:r w:rsidRPr="00853D8D">
        <w:fldChar w:fldCharType="end"/>
      </w:r>
      <w:r w:rsidRPr="00853D8D">
        <w:t xml:space="preserve"> offices. Extension agents and outreach professionals for each Cooperative Extension office often have in-depth knowledge of local</w:t>
      </w:r>
      <w:r w:rsidRPr="00853D8D">
        <w:fldChar w:fldCharType="begin"/>
      </w:r>
      <w:r w:rsidRPr="00853D8D">
        <w:instrText xml:space="preserve"> XE "Local" </w:instrText>
      </w:r>
      <w:r w:rsidRPr="00853D8D">
        <w:fldChar w:fldCharType="end"/>
      </w:r>
      <w:r w:rsidRPr="00853D8D">
        <w:t xml:space="preserve"> farms and crops and have many contacts in the farming community</w:t>
      </w:r>
      <w:r w:rsidRPr="00853D8D">
        <w:fldChar w:fldCharType="begin"/>
      </w:r>
      <w:r w:rsidRPr="00853D8D">
        <w:instrText xml:space="preserve"> XE "Community" </w:instrText>
      </w:r>
      <w:r w:rsidRPr="00853D8D">
        <w:fldChar w:fldCharType="end"/>
      </w:r>
      <w:r w:rsidRPr="00853D8D">
        <w:t>. Cooperative Extension offices may also offer annual statewide activities, such as farm shows or agricultural days that are good places to meet employers. In addition to local Cooperative Extension offices, recruiters may find the national online extension site (</w:t>
      </w:r>
      <w:hyperlink r:id="rId14" w:history="1">
        <w:r w:rsidRPr="00A760AA">
          <w:rPr>
            <w:rStyle w:val="Hyperlink"/>
          </w:rPr>
          <w:t>http://www.extension.org</w:t>
        </w:r>
      </w:hyperlink>
      <w:r w:rsidRPr="00853D8D">
        <w:t>) a valuable resource. “</w:t>
      </w:r>
      <w:r w:rsidRPr="001A419B">
        <w:t>eXtension</w:t>
      </w:r>
      <w:r>
        <w:t>”</w:t>
      </w:r>
      <w:r w:rsidRPr="001A419B">
        <w:t xml:space="preserve"> is an interactive learning environment delivering researched information from land grant university minds across America. The </w:t>
      </w:r>
      <w:r w:rsidRPr="001A419B">
        <w:lastRenderedPageBreak/>
        <w:t xml:space="preserve">recruiter can enhance </w:t>
      </w:r>
      <w:r>
        <w:t>his or her</w:t>
      </w:r>
      <w:r>
        <w:rPr>
          <w:lang w:val="en-US"/>
        </w:rPr>
        <w:t xml:space="preserve"> </w:t>
      </w:r>
      <w:r w:rsidRPr="001A419B">
        <w:t>knowledge of agricultural crops and industries to better understand and communicate with the farm community in the recruitment regions. Furthermore, the recruiter can find useful research and articles specifically on migra</w:t>
      </w:r>
      <w:r>
        <w:t>tory</w:t>
      </w:r>
      <w:r w:rsidRPr="001A419B">
        <w:t xml:space="preserve"> farmworkers by typing “migrant” into the search engine</w:t>
      </w:r>
      <w:r>
        <w:t xml:space="preserve">. </w:t>
      </w:r>
    </w:p>
    <w:p w14:paraId="185DADFB" w14:textId="77777777" w:rsidR="00286DC1" w:rsidRDefault="00286DC1" w:rsidP="005514ED">
      <w:pPr>
        <w:pStyle w:val="IDRText"/>
      </w:pPr>
      <w:r w:rsidRPr="00853D8D">
        <w:t>In addition to Cooperative Extension offices, state Departments of Agriculture are another diverse source of information for the recruiter. Most state Departments of Agriculture have marketing boards for the different commodities, such as meat, dairy, fruits and vegetables, etc. These boards are composed of employers and can provide the MEP</w:t>
      </w:r>
      <w:r w:rsidRPr="00853D8D">
        <w:fldChar w:fldCharType="begin"/>
      </w:r>
      <w:r w:rsidRPr="00853D8D">
        <w:instrText xml:space="preserve"> XE "MEP" </w:instrText>
      </w:r>
      <w:r w:rsidRPr="00853D8D">
        <w:fldChar w:fldCharType="end"/>
      </w:r>
      <w:r w:rsidRPr="00853D8D">
        <w:fldChar w:fldCharType="begin"/>
      </w:r>
      <w:r w:rsidRPr="00853D8D">
        <w:instrText xml:space="preserve"> XE "Migrant Education Program" </w:instrText>
      </w:r>
      <w:r w:rsidRPr="00853D8D">
        <w:fldChar w:fldCharType="end"/>
      </w:r>
      <w:r w:rsidRPr="00853D8D">
        <w:t xml:space="preserve"> with access to other employers. Additional sources of information might include state agencies that license or inspect migratory labor camps, National Farmworker Jobs Training</w:t>
      </w:r>
      <w:r w:rsidRPr="00853D8D">
        <w:fldChar w:fldCharType="begin"/>
      </w:r>
      <w:r w:rsidRPr="00853D8D">
        <w:instrText xml:space="preserve"> XE "Training" </w:instrText>
      </w:r>
      <w:r w:rsidRPr="00853D8D">
        <w:fldChar w:fldCharType="end"/>
      </w:r>
      <w:r w:rsidRPr="00853D8D">
        <w:t xml:space="preserve"> Grantees (</w:t>
      </w:r>
      <w:hyperlink r:id="rId15" w:history="1">
        <w:r w:rsidR="00577FD4" w:rsidRPr="003F1FEC">
          <w:rPr>
            <w:rStyle w:val="Hyperlink"/>
          </w:rPr>
          <w:t>https://www.doleta.gov/Farmworker/html/NFJP.cfm</w:t>
        </w:r>
      </w:hyperlink>
      <w:r w:rsidR="00577FD4" w:rsidRPr="00577FD4">
        <w:t>)</w:t>
      </w:r>
      <w:r w:rsidRPr="00853D8D">
        <w:t xml:space="preserve">, and One-Stop Career Centers. </w:t>
      </w:r>
      <w:r w:rsidRPr="005E74C5">
        <w:t xml:space="preserve">Many </w:t>
      </w:r>
      <w:r w:rsidRPr="007738CE">
        <w:t>One-Stop Career Centers</w:t>
      </w:r>
      <w:r>
        <w:t xml:space="preserve"> (</w:t>
      </w:r>
      <w:hyperlink r:id="rId16" w:history="1">
        <w:r w:rsidRPr="007A7DD2">
          <w:rPr>
            <w:rStyle w:val="Hyperlink"/>
          </w:rPr>
          <w:t>http://www.servicelocator.org</w:t>
        </w:r>
      </w:hyperlink>
      <w:r>
        <w:t>)</w:t>
      </w:r>
      <w:r w:rsidRPr="005E74C5">
        <w:t xml:space="preserve"> have outreach workers that visit</w:t>
      </w:r>
      <w:r w:rsidRPr="005E74C5">
        <w:fldChar w:fldCharType="begin"/>
      </w:r>
      <w:r w:rsidRPr="005E74C5">
        <w:instrText xml:space="preserve"> XE "Visit" </w:instrText>
      </w:r>
      <w:r w:rsidRPr="005E74C5">
        <w:fldChar w:fldCharType="end"/>
      </w:r>
      <w:r w:rsidRPr="005E74C5">
        <w:t xml:space="preserve"> migra</w:t>
      </w:r>
      <w:r>
        <w:t>tory</w:t>
      </w:r>
      <w:r w:rsidRPr="005E74C5">
        <w:t xml:space="preserve"> workers regularly. To identify whether a One-Stop Career Center has an outreach worker, you may contact the center directly or contact the </w:t>
      </w:r>
      <w:r w:rsidRPr="007738CE">
        <w:t>State</w:t>
      </w:r>
      <w:r w:rsidRPr="007738CE">
        <w:fldChar w:fldCharType="begin"/>
      </w:r>
      <w:r w:rsidRPr="007738CE">
        <w:instrText xml:space="preserve"> XE "State" </w:instrText>
      </w:r>
      <w:r w:rsidRPr="007738CE">
        <w:fldChar w:fldCharType="end"/>
      </w:r>
      <w:r w:rsidRPr="007738CE">
        <w:t xml:space="preserve"> Monitor</w:t>
      </w:r>
      <w:r w:rsidRPr="007738CE">
        <w:fldChar w:fldCharType="begin"/>
      </w:r>
      <w:r w:rsidRPr="007738CE">
        <w:instrText xml:space="preserve"> XE "Monitoring" </w:instrText>
      </w:r>
      <w:r w:rsidRPr="007738CE">
        <w:fldChar w:fldCharType="end"/>
      </w:r>
      <w:r w:rsidRPr="007738CE">
        <w:t xml:space="preserve"> Advocate </w:t>
      </w:r>
      <w:r>
        <w:t>(</w:t>
      </w:r>
      <w:hyperlink r:id="rId17" w:history="1">
        <w:r w:rsidRPr="005E74C5">
          <w:rPr>
            <w:rStyle w:val="Hyperlink"/>
          </w:rPr>
          <w:t>http://www.doleta.gov/programs/MSFW.cfm</w:t>
        </w:r>
      </w:hyperlink>
      <w:r w:rsidR="00577FD4">
        <w:t>).</w:t>
      </w:r>
      <w:r w:rsidRPr="005E74C5">
        <w:t xml:space="preserve"> </w:t>
      </w:r>
    </w:p>
    <w:p w14:paraId="5CE837BF" w14:textId="77777777" w:rsidR="00286DC1" w:rsidRDefault="00286DC1" w:rsidP="005514ED">
      <w:pPr>
        <w:pStyle w:val="IDRText"/>
        <w:rPr>
          <w:lang w:val="en-US"/>
        </w:rPr>
      </w:pPr>
      <w:r w:rsidRPr="00653FE9">
        <w:t>Some government agencies maintain electronic tools that may be of assistance to the recruiter</w:t>
      </w:r>
      <w:r>
        <w:t xml:space="preserve">. </w:t>
      </w:r>
      <w:r w:rsidRPr="00653FE9">
        <w:t xml:space="preserve">For example, the </w:t>
      </w:r>
      <w:r w:rsidRPr="007738CE">
        <w:t>National Agricultural Statistics Service</w:t>
      </w:r>
      <w:r w:rsidRPr="00653FE9">
        <w:t xml:space="preserve"> (NASS) </w:t>
      </w:r>
      <w:r>
        <w:t>(</w:t>
      </w:r>
      <w:hyperlink r:id="rId18" w:history="1">
        <w:r w:rsidR="00577FD4" w:rsidRPr="003F1FEC">
          <w:rPr>
            <w:rStyle w:val="Hyperlink"/>
          </w:rPr>
          <w:t>http://www.nass.usda.gov/</w:t>
        </w:r>
      </w:hyperlink>
      <w:r w:rsidR="00577FD4">
        <w:t xml:space="preserve">) </w:t>
      </w:r>
      <w:r w:rsidRPr="00653FE9">
        <w:t>operates a comprehensive on-line database on agricultural production</w:t>
      </w:r>
      <w:r w:rsidRPr="003B6644">
        <w:t>.</w:t>
      </w:r>
      <w:r>
        <w:t xml:space="preserve"> </w:t>
      </w:r>
      <w:r w:rsidRPr="00653FE9">
        <w:t>NASS conducts hundreds of surveys</w:t>
      </w:r>
      <w:r w:rsidRPr="00653FE9">
        <w:fldChar w:fldCharType="begin"/>
      </w:r>
      <w:r w:rsidRPr="00653FE9">
        <w:instrText xml:space="preserve"> XE "Surveys" </w:instrText>
      </w:r>
      <w:r w:rsidRPr="00653FE9">
        <w:fldChar w:fldCharType="end"/>
      </w:r>
      <w:r w:rsidRPr="00653FE9">
        <w:t xml:space="preserve"> every year and prepares reports covering virtually every aspect of U.S. agricultural production including numbers of hired farm labor and contract farm labor</w:t>
      </w:r>
      <w:r>
        <w:t xml:space="preserve">. </w:t>
      </w:r>
      <w:r w:rsidRPr="00653FE9">
        <w:t>Data are available at the state</w:t>
      </w:r>
      <w:r w:rsidRPr="00653FE9">
        <w:fldChar w:fldCharType="begin"/>
      </w:r>
      <w:r w:rsidRPr="00653FE9">
        <w:instrText xml:space="preserve"> XE "State" </w:instrText>
      </w:r>
      <w:r w:rsidRPr="00653FE9">
        <w:fldChar w:fldCharType="end"/>
      </w:r>
      <w:r w:rsidRPr="00653FE9">
        <w:t xml:space="preserve"> and county level; some data are available by zip code</w:t>
      </w:r>
      <w:r>
        <w:t xml:space="preserve">. </w:t>
      </w:r>
      <w:r w:rsidRPr="00653FE9">
        <w:t>There is also an Interactiv</w:t>
      </w:r>
      <w:r>
        <w:t>e Statistical Map (see Figure 2</w:t>
      </w:r>
      <w:r w:rsidRPr="00653FE9">
        <w:t xml:space="preserve"> below). </w:t>
      </w:r>
    </w:p>
    <w:p w14:paraId="53AF71C1" w14:textId="77777777" w:rsidR="00286DC1" w:rsidRPr="003720B0" w:rsidRDefault="00286DC1" w:rsidP="009641C0">
      <w:pPr>
        <w:pStyle w:val="IDRFigure"/>
      </w:pPr>
      <w:bookmarkStart w:id="20" w:name="_Toc334612260"/>
      <w:r w:rsidRPr="003720B0">
        <w:t>Figure</w:t>
      </w:r>
      <w:r>
        <w:t xml:space="preserve"> 2</w:t>
      </w:r>
      <w:r w:rsidRPr="003720B0">
        <w:t>. The National Agricultural Statistics Service Website</w:t>
      </w:r>
      <w:bookmarkEnd w:id="20"/>
    </w:p>
    <w:p w14:paraId="0CABCB03" w14:textId="77777777" w:rsidR="00286DC1" w:rsidRPr="00157079" w:rsidRDefault="00286DC1" w:rsidP="005514ED">
      <w:pPr>
        <w:rPr>
          <w:bCs/>
        </w:rPr>
      </w:pPr>
    </w:p>
    <w:p w14:paraId="3597FA06" w14:textId="77777777" w:rsidR="00286DC1" w:rsidRPr="00157079" w:rsidRDefault="00B73F0A" w:rsidP="005514ED">
      <w:pPr>
        <w:keepNext/>
        <w:jc w:val="center"/>
      </w:pPr>
      <w:r>
        <w:rPr>
          <w:noProof/>
        </w:rPr>
        <w:drawing>
          <wp:inline distT="0" distB="0" distL="0" distR="0" wp14:anchorId="2A304A3A" wp14:editId="17EB85A2">
            <wp:extent cx="4724400" cy="2325097"/>
            <wp:effectExtent l="0" t="0" r="0" b="12065"/>
            <wp:docPr id="2" name="Picture 2" title="National Agricultural Statistics Service Websi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CensusMap"/>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724400" cy="2325097"/>
                    </a:xfrm>
                    <a:prstGeom prst="rect">
                      <a:avLst/>
                    </a:prstGeom>
                    <a:noFill/>
                    <a:ln>
                      <a:noFill/>
                    </a:ln>
                  </pic:spPr>
                </pic:pic>
              </a:graphicData>
            </a:graphic>
          </wp:inline>
        </w:drawing>
      </w:r>
    </w:p>
    <w:p w14:paraId="225F7A0B" w14:textId="77777777" w:rsidR="00286DC1" w:rsidRPr="001A419B" w:rsidRDefault="00286DC1" w:rsidP="005514ED">
      <w:pPr>
        <w:pStyle w:val="IDRText"/>
      </w:pPr>
      <w:r>
        <w:t xml:space="preserve">The NASS website enables you to conduct a </w:t>
      </w:r>
      <w:r w:rsidR="002041B1">
        <w:t>county level search</w:t>
      </w:r>
      <w:r w:rsidRPr="007738CE">
        <w:t xml:space="preserve"> </w:t>
      </w:r>
      <w:r>
        <w:t>(</w:t>
      </w:r>
      <w:hyperlink r:id="rId20" w:history="1">
        <w:r w:rsidR="00936D57" w:rsidRPr="00936D57">
          <w:rPr>
            <w:rStyle w:val="Hyperlink"/>
          </w:rPr>
          <w:t>https://www.agcensus.usda.gov/Publications/2012/Full_Report/Census_by_State/</w:t>
        </w:r>
      </w:hyperlink>
      <w:r w:rsidR="00936D57">
        <w:t>).</w:t>
      </w:r>
    </w:p>
    <w:p w14:paraId="43D9C4DF" w14:textId="77777777" w:rsidR="00286DC1" w:rsidRPr="00741611" w:rsidRDefault="00286DC1" w:rsidP="005514ED">
      <w:pPr>
        <w:pStyle w:val="IDRText"/>
      </w:pPr>
      <w:r w:rsidRPr="001A419B">
        <w:t xml:space="preserve">While the data obtained can be valuable in finding out total production data, information about individual farms is not available to the recruiter on </w:t>
      </w:r>
      <w:r>
        <w:rPr>
          <w:lang w:val="en-US"/>
        </w:rPr>
        <w:t xml:space="preserve">the NASS </w:t>
      </w:r>
      <w:r w:rsidRPr="001A419B">
        <w:t>site.</w:t>
      </w:r>
    </w:p>
    <w:p w14:paraId="146286CA" w14:textId="77777777" w:rsidR="00286DC1" w:rsidRPr="00741611" w:rsidRDefault="00286DC1" w:rsidP="005514ED">
      <w:pPr>
        <w:pStyle w:val="IDRText"/>
      </w:pPr>
      <w:r w:rsidRPr="001A419B">
        <w:lastRenderedPageBreak/>
        <w:t xml:space="preserve">Another diverse resource is the </w:t>
      </w:r>
      <w:r>
        <w:t xml:space="preserve">U.S. </w:t>
      </w:r>
      <w:r w:rsidR="00251E14">
        <w:t xml:space="preserve">Department of </w:t>
      </w:r>
      <w:r w:rsidRPr="001A419B">
        <w:t>Labor</w:t>
      </w:r>
      <w:r>
        <w:t xml:space="preserve">. </w:t>
      </w:r>
      <w:r w:rsidRPr="001A419B">
        <w:t>This is the government agency</w:t>
      </w:r>
      <w:r>
        <w:t xml:space="preserve"> </w:t>
      </w:r>
      <w:r w:rsidRPr="001A419B">
        <w:t xml:space="preserve">that manages the </w:t>
      </w:r>
      <w:r w:rsidRPr="007738CE">
        <w:t>National Agricultural Workers Survey</w:t>
      </w:r>
      <w:r>
        <w:t xml:space="preserve"> (</w:t>
      </w:r>
      <w:r w:rsidRPr="001A419B">
        <w:t>NAWS</w:t>
      </w:r>
      <w:r>
        <w:t>) (</w:t>
      </w:r>
      <w:hyperlink r:id="rId21" w:history="1">
        <w:r w:rsidRPr="001A419B">
          <w:rPr>
            <w:rStyle w:val="Hyperlink"/>
          </w:rPr>
          <w:t>http://www.doleta.gov/agworker/naws.cfm</w:t>
        </w:r>
      </w:hyperlink>
      <w:r w:rsidR="00577FD4">
        <w:t>).</w:t>
      </w:r>
      <w:r w:rsidRPr="001A419B">
        <w:t xml:space="preserve"> This survey is the most comprehensive employment-based, random survey of the demographic, employment, and health characteristics of the U.S. crop labor force</w:t>
      </w:r>
      <w:r>
        <w:t xml:space="preserve">. </w:t>
      </w:r>
      <w:r w:rsidRPr="001A419B">
        <w:t xml:space="preserve">The Department of Labor also maintains the </w:t>
      </w:r>
      <w:r w:rsidRPr="007738CE">
        <w:t xml:space="preserve">iCERT Visa Portal </w:t>
      </w:r>
      <w:r w:rsidRPr="001A419B">
        <w:t>site (</w:t>
      </w:r>
      <w:hyperlink r:id="rId22" w:history="1">
        <w:r w:rsidRPr="001A419B">
          <w:rPr>
            <w:rStyle w:val="Hyperlink"/>
          </w:rPr>
          <w:t>http://icert.doleta.gov/index.cfm</w:t>
        </w:r>
      </w:hyperlink>
      <w:r w:rsidRPr="001A419B">
        <w:t>). This site provides current and past job order postings for H2A workers made by agricultural employers. The H2A temporary labor certification program allows farms to contract temporary workers when local labor force is not available</w:t>
      </w:r>
      <w:r>
        <w:t xml:space="preserve">. </w:t>
      </w:r>
      <w:r w:rsidRPr="001A419B">
        <w:t>While</w:t>
      </w:r>
      <w:r w:rsidRPr="00653FE9">
        <w:t xml:space="preserve"> not all H2A workers are eligible due to MEP age requirements, the recruiter may find this site useful for identifying agricultural employers who contract H2A workers. The site is user friendly</w:t>
      </w:r>
      <w:r>
        <w:t xml:space="preserve">. </w:t>
      </w:r>
    </w:p>
    <w:p w14:paraId="22D9BCD1" w14:textId="77777777" w:rsidR="00286DC1" w:rsidRPr="00653FE9" w:rsidRDefault="00286DC1" w:rsidP="005514ED">
      <w:pPr>
        <w:pStyle w:val="IDRText"/>
      </w:pPr>
      <w:r w:rsidRPr="00741611">
        <w:rPr>
          <w:rStyle w:val="IDRSub-section"/>
        </w:rPr>
        <w:t>Migratory Families.</w:t>
      </w:r>
      <w:r w:rsidRPr="00741611">
        <w:t xml:space="preserve"> </w:t>
      </w:r>
      <w:r w:rsidRPr="00653FE9">
        <w:t>It is important for the recruiter to develop strong relationships with migra</w:t>
      </w:r>
      <w:r>
        <w:t>tory</w:t>
      </w:r>
      <w:r w:rsidRPr="00653FE9">
        <w:t xml:space="preserve"> families</w:t>
      </w:r>
      <w:r>
        <w:t xml:space="preserve">. </w:t>
      </w:r>
      <w:r w:rsidRPr="00653FE9">
        <w:t>Migra</w:t>
      </w:r>
      <w:r>
        <w:t>tory</w:t>
      </w:r>
      <w:r w:rsidRPr="00653FE9">
        <w:t xml:space="preserve"> parents can inform the recruiter about the kinds of community</w:t>
      </w:r>
      <w:r w:rsidRPr="00653FE9">
        <w:fldChar w:fldCharType="begin"/>
      </w:r>
      <w:r w:rsidRPr="00653FE9">
        <w:instrText xml:space="preserve"> XE "Community" </w:instrText>
      </w:r>
      <w:r w:rsidRPr="00653FE9">
        <w:fldChar w:fldCharType="end"/>
      </w:r>
      <w:r w:rsidRPr="00653FE9">
        <w:t xml:space="preserve"> activities </w:t>
      </w:r>
      <w:r>
        <w:t xml:space="preserve">in which </w:t>
      </w:r>
      <w:r w:rsidRPr="00653FE9">
        <w:t>they participate and the services they use, which is useful information as the recruiter develops a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t xml:space="preserve">. </w:t>
      </w:r>
      <w:r w:rsidRPr="00653FE9">
        <w:t>Additionally, migra</w:t>
      </w:r>
      <w:r>
        <w:t>tory</w:t>
      </w:r>
      <w:r w:rsidRPr="00653FE9">
        <w:t xml:space="preserve"> parents whose children are currently in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can often provide information regarding other migra</w:t>
      </w:r>
      <w:r>
        <w:t>tory</w:t>
      </w:r>
      <w:r w:rsidRPr="00653FE9">
        <w:t xml:space="preserve"> parents who live in their neighborhood, go to their church, or work at a neighboring farm</w:t>
      </w:r>
      <w:r>
        <w:t xml:space="preserve">. </w:t>
      </w:r>
      <w:r w:rsidRPr="00653FE9">
        <w:t>Finally, migra</w:t>
      </w:r>
      <w:r>
        <w:t>tory</w:t>
      </w:r>
      <w:r w:rsidRPr="00653FE9">
        <w:t xml:space="preserve"> families who have had good experiences with the MEP are more likely to seek out the MEP when they move to a new town</w:t>
      </w:r>
      <w:r>
        <w:t xml:space="preserve">. </w:t>
      </w:r>
    </w:p>
    <w:p w14:paraId="162D51B4" w14:textId="77777777" w:rsidR="00286DC1" w:rsidRDefault="00286DC1" w:rsidP="005514ED">
      <w:pPr>
        <w:pStyle w:val="IDRText"/>
      </w:pPr>
      <w:r w:rsidRPr="00741611">
        <w:rPr>
          <w:rStyle w:val="IDRSub-section"/>
        </w:rPr>
        <w:t>Migratory Out-of-School Youth (OSY).</w:t>
      </w:r>
      <w:r w:rsidRPr="00741611">
        <w:t xml:space="preserve"> </w:t>
      </w:r>
      <w:r w:rsidRPr="00653FE9">
        <w:t>OSY have unique needs resulting from their migrat</w:t>
      </w:r>
      <w:r>
        <w:rPr>
          <w:lang w:val="en-US"/>
        </w:rPr>
        <w:t>ory</w:t>
      </w:r>
      <w:r w:rsidRPr="00653FE9">
        <w:t xml:space="preserve"> lifestyle. Some recruiters state </w:t>
      </w:r>
      <w:r>
        <w:rPr>
          <w:lang w:val="en-US"/>
        </w:rPr>
        <w:t xml:space="preserve">that </w:t>
      </w:r>
      <w:r>
        <w:t xml:space="preserve">it </w:t>
      </w:r>
      <w:r w:rsidRPr="00653FE9">
        <w:t xml:space="preserve">is even more difficult to locate and recruit </w:t>
      </w:r>
      <w:r>
        <w:t xml:space="preserve">the OSY population </w:t>
      </w:r>
      <w:r w:rsidRPr="00653FE9">
        <w:t xml:space="preserve">than </w:t>
      </w:r>
      <w:r>
        <w:t xml:space="preserve">it is to locate and recruit </w:t>
      </w:r>
      <w:r w:rsidRPr="00653FE9">
        <w:t>migra</w:t>
      </w:r>
      <w:r>
        <w:t>tory</w:t>
      </w:r>
      <w:r w:rsidRPr="00653FE9">
        <w:t xml:space="preserve"> families. Fortunately, providing services to OSY can be very rewarding. </w:t>
      </w:r>
    </w:p>
    <w:p w14:paraId="63A42D92" w14:textId="77777777" w:rsidR="00286DC1" w:rsidRPr="00653FE9" w:rsidRDefault="00286DC1" w:rsidP="005514ED">
      <w:pPr>
        <w:pStyle w:val="IDRText"/>
      </w:pPr>
      <w:r w:rsidRPr="00653FE9">
        <w:t>OSY need advocates: people who can both motivate them and help them access needed services. Young people not in school have little or no access to federal or state resources</w:t>
      </w:r>
      <w:r>
        <w:t xml:space="preserve">. </w:t>
      </w:r>
    </w:p>
    <w:p w14:paraId="2C75294F" w14:textId="77777777" w:rsidR="00286DC1" w:rsidRPr="00653FE9" w:rsidRDefault="00286DC1" w:rsidP="00CC1821">
      <w:pPr>
        <w:pStyle w:val="OMEHeading2"/>
      </w:pPr>
      <w:r w:rsidRPr="00653FE9">
        <w:fldChar w:fldCharType="begin"/>
      </w:r>
      <w:r w:rsidRPr="00653FE9">
        <w:instrText xml:space="preserve"> XE "Network" </w:instrText>
      </w:r>
      <w:r w:rsidRPr="00653FE9">
        <w:fldChar w:fldCharType="end"/>
      </w:r>
      <w:bookmarkStart w:id="21" w:name="_Toc334607933"/>
      <w:bookmarkStart w:id="22" w:name="_Toc334799902"/>
      <w:bookmarkStart w:id="23" w:name="_Toc524948309"/>
      <w:r w:rsidRPr="00653FE9">
        <w:t>Building Relationships and Gathering Data</w:t>
      </w:r>
      <w:bookmarkEnd w:id="21"/>
      <w:bookmarkEnd w:id="22"/>
      <w:bookmarkEnd w:id="23"/>
    </w:p>
    <w:p w14:paraId="25BE8B6D" w14:textId="77777777" w:rsidR="00286DC1" w:rsidRPr="00741611" w:rsidRDefault="00286DC1" w:rsidP="00741611">
      <w:pPr>
        <w:pStyle w:val="IDRCallout"/>
      </w:pPr>
      <w:r w:rsidRPr="004F2177">
        <w:t>Recruiting students by waiting in the school</w:t>
      </w:r>
      <w:r w:rsidRPr="004F2177">
        <w:fldChar w:fldCharType="begin"/>
      </w:r>
      <w:r w:rsidRPr="004F2177">
        <w:instrText xml:space="preserve"> XE "School" </w:instrText>
      </w:r>
      <w:r w:rsidRPr="004F2177">
        <w:fldChar w:fldCharType="end"/>
      </w:r>
      <w:r w:rsidRPr="004F2177">
        <w:t xml:space="preserve"> for migra</w:t>
      </w:r>
      <w:r>
        <w:t>tory families</w:t>
      </w:r>
      <w:r w:rsidRPr="004F2177">
        <w:t xml:space="preserve"> to come through the door is like lying under a cherry tree with your mouth open</w:t>
      </w:r>
      <w:r>
        <w:t xml:space="preserve">. </w:t>
      </w:r>
      <w:r w:rsidRPr="004F2177">
        <w:t>Sooner or later, a cherry will fall in your mouth, but look at all of those you lost out on.</w:t>
      </w:r>
    </w:p>
    <w:p w14:paraId="19F79244" w14:textId="77777777" w:rsidR="00286DC1" w:rsidRPr="00653FE9" w:rsidRDefault="00286DC1" w:rsidP="005514ED">
      <w:pPr>
        <w:pStyle w:val="IDRText"/>
      </w:pPr>
      <w:r w:rsidRPr="00653FE9">
        <w:t>The primary benefit of a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is to get referrals</w:t>
      </w:r>
      <w:r w:rsidRPr="00653FE9">
        <w:fldChar w:fldCharType="begin"/>
      </w:r>
      <w:r w:rsidRPr="00653FE9">
        <w:instrText xml:space="preserve"> XE "Referrals" </w:instrText>
      </w:r>
      <w:r w:rsidRPr="00653FE9">
        <w:fldChar w:fldCharType="end"/>
      </w:r>
      <w:r w:rsidRPr="00653FE9">
        <w:t xml:space="preserve"> of potentially eligible</w:t>
      </w:r>
      <w:r w:rsidRPr="00653FE9">
        <w:fldChar w:fldCharType="begin"/>
      </w:r>
      <w:r w:rsidRPr="00653FE9">
        <w:instrText xml:space="preserve"> XE "Eligibility" </w:instrText>
      </w:r>
      <w:r w:rsidRPr="00653FE9">
        <w:fldChar w:fldCharType="end"/>
      </w:r>
      <w:r w:rsidRPr="00653FE9">
        <w:t xml:space="preserve"> migra</w:t>
      </w:r>
      <w:r>
        <w:t>tory</w:t>
      </w:r>
      <w:r w:rsidRPr="00653FE9">
        <w:t xml:space="preserve"> children and youth</w:t>
      </w:r>
      <w:r>
        <w:t xml:space="preserve">. </w:t>
      </w:r>
      <w:r w:rsidRPr="00653FE9">
        <w:t>For example, a community</w:t>
      </w:r>
      <w:r w:rsidRPr="00653FE9">
        <w:fldChar w:fldCharType="begin"/>
      </w:r>
      <w:r w:rsidRPr="00653FE9">
        <w:instrText xml:space="preserve"> XE "Community" </w:instrText>
      </w:r>
      <w:r w:rsidRPr="00653FE9">
        <w:fldChar w:fldCharType="end"/>
      </w:r>
      <w:r w:rsidRPr="00653FE9">
        <w:t xml:space="preserve"> healthcare worker in an agricultural region may notify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if a large </w:t>
      </w:r>
      <w:r w:rsidRPr="00741611">
        <w:t>number of new families have their children immunized at the local</w:t>
      </w:r>
      <w:r w:rsidRPr="00741611">
        <w:fldChar w:fldCharType="begin"/>
      </w:r>
      <w:r w:rsidRPr="00741611">
        <w:instrText xml:space="preserve"> XE "Local" </w:instrText>
      </w:r>
      <w:r w:rsidRPr="00741611">
        <w:fldChar w:fldCharType="end"/>
      </w:r>
      <w:r w:rsidRPr="00741611">
        <w:t xml:space="preserve"> clinic at spring planting time. Each time the recruiter interviews a migratory family</w:t>
      </w:r>
      <w:r w:rsidRPr="00741611">
        <w:fldChar w:fldCharType="begin"/>
      </w:r>
      <w:r w:rsidRPr="00741611">
        <w:instrText xml:space="preserve"> XE "Family" </w:instrText>
      </w:r>
      <w:r w:rsidRPr="00741611">
        <w:fldChar w:fldCharType="end"/>
      </w:r>
      <w:r w:rsidRPr="00741611">
        <w:t xml:space="preserve"> the recruiter should ask if the family knows of other migratory families or OSY in the area that the recruiter should visit</w:t>
      </w:r>
      <w:r w:rsidRPr="00741611">
        <w:fldChar w:fldCharType="begin"/>
      </w:r>
      <w:r w:rsidRPr="00741611">
        <w:instrText xml:space="preserve"> XE "Visit" </w:instrText>
      </w:r>
      <w:r w:rsidRPr="00741611">
        <w:fldChar w:fldCharType="end"/>
      </w:r>
      <w:r w:rsidRPr="00741611">
        <w:t xml:space="preserve">. Furthermore, the recruiter should actively seek out new </w:t>
      </w:r>
      <w:r w:rsidRPr="00653FE9">
        <w:t>organizations to add to the recruitment network</w:t>
      </w:r>
      <w:r>
        <w:t xml:space="preserve">. </w:t>
      </w:r>
      <w:r w:rsidRPr="00653FE9">
        <w:t>It takes time and effort to build and sustain a recruitment network since t</w:t>
      </w:r>
      <w:r w:rsidRPr="00653FE9">
        <w:fldChar w:fldCharType="begin"/>
      </w:r>
      <w:r w:rsidRPr="00653FE9">
        <w:instrText xml:space="preserve"> XE “Network" </w:instrText>
      </w:r>
      <w:r w:rsidRPr="00653FE9">
        <w:fldChar w:fldCharType="end"/>
      </w:r>
      <w:r w:rsidRPr="00653FE9">
        <w:t>he recruiter must continually make fresh contacts, as well as nurture long-standing contacts</w:t>
      </w:r>
      <w:r>
        <w:t xml:space="preserve">. </w:t>
      </w:r>
      <w:r w:rsidRPr="00653FE9">
        <w:t>However, the benefits outweigh the time commitment required</w:t>
      </w:r>
      <w:r>
        <w:t xml:space="preserve">. </w:t>
      </w:r>
      <w:r w:rsidRPr="00653FE9">
        <w:t xml:space="preserve">Here are some strategies for building and maintaining networks. </w:t>
      </w:r>
    </w:p>
    <w:p w14:paraId="49B300FC" w14:textId="77777777" w:rsidR="00286DC1" w:rsidRPr="00741611" w:rsidRDefault="00286DC1" w:rsidP="005514ED">
      <w:pPr>
        <w:pStyle w:val="IDRText"/>
      </w:pPr>
      <w:r w:rsidRPr="00741611">
        <w:rPr>
          <w:rStyle w:val="IDRSub-section"/>
        </w:rPr>
        <w:t>Personal Relationships Build Professional Relationships.</w:t>
      </w:r>
      <w:r w:rsidRPr="00741611">
        <w:t xml:space="preserve"> </w:t>
      </w:r>
      <w:r w:rsidRPr="00653FE9">
        <w:t>Migra</w:t>
      </w:r>
      <w:r>
        <w:t>tory</w:t>
      </w:r>
      <w:r w:rsidRPr="00653FE9">
        <w:t xml:space="preserve"> families often use </w:t>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rsidRPr="00653FE9">
        <w:t>personal relationships to share information about jobs, housing, school</w:t>
      </w:r>
      <w:r w:rsidRPr="00653FE9">
        <w:fldChar w:fldCharType="begin"/>
      </w:r>
      <w:r w:rsidRPr="00653FE9">
        <w:instrText xml:space="preserve"> XE "School" </w:instrText>
      </w:r>
      <w:r w:rsidRPr="00653FE9">
        <w:fldChar w:fldCharType="end"/>
      </w:r>
      <w:r w:rsidRPr="00653FE9">
        <w:t>s, and services (including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w:t>
      </w:r>
      <w:r w:rsidRPr="00653FE9">
        <w:lastRenderedPageBreak/>
        <w:t>services)</w:t>
      </w:r>
      <w:r>
        <w:t xml:space="preserve">. </w:t>
      </w:r>
      <w:r w:rsidRPr="00653FE9">
        <w:t>Information shared within these informal networks often moves faster than more formal communications (</w:t>
      </w:r>
      <w:r>
        <w:t>e.g.,</w:t>
      </w:r>
      <w:r w:rsidRPr="00653FE9">
        <w:t xml:space="preserve"> learning</w:t>
      </w:r>
      <w:r w:rsidRPr="00653FE9">
        <w:fldChar w:fldCharType="begin"/>
      </w:r>
      <w:r w:rsidRPr="00653FE9">
        <w:instrText xml:space="preserve"> XE "Learning" </w:instrText>
      </w:r>
      <w:r w:rsidRPr="00653FE9">
        <w:fldChar w:fldCharType="end"/>
      </w:r>
      <w:r w:rsidRPr="00653FE9">
        <w:t xml:space="preserve"> about job openings by word-of</w:t>
      </w:r>
      <w:r w:rsidRPr="00741611">
        <w:t>-mouth versus in a newspaper). The recruiter can learn valuable lessons from migratory families about how to develop and maintain a network</w:t>
      </w:r>
      <w:r w:rsidRPr="00741611">
        <w:fldChar w:fldCharType="begin"/>
      </w:r>
      <w:r w:rsidRPr="00741611">
        <w:instrText xml:space="preserve"> XE "Recruitment network" </w:instrText>
      </w:r>
      <w:r w:rsidRPr="00741611">
        <w:fldChar w:fldCharType="end"/>
      </w:r>
      <w:r w:rsidRPr="00741611">
        <w:t>. Over time, the recruiter will develop his or her own networking and communication strategies to develop a strong professional recruitment network.</w:t>
      </w:r>
    </w:p>
    <w:p w14:paraId="7339ABEB" w14:textId="77777777" w:rsidR="00286DC1" w:rsidRPr="00741611" w:rsidRDefault="00286DC1" w:rsidP="005514ED">
      <w:pPr>
        <w:pStyle w:val="IDRText"/>
      </w:pPr>
      <w:r w:rsidRPr="00741611">
        <w:rPr>
          <w:rStyle w:val="IDRSub-section"/>
        </w:rPr>
        <w:t>First Impressions</w:t>
      </w:r>
      <w:r w:rsidRPr="00741611">
        <w:rPr>
          <w:rStyle w:val="IDRSub-section"/>
        </w:rPr>
        <w:fldChar w:fldCharType="begin"/>
      </w:r>
      <w:r w:rsidRPr="00741611">
        <w:rPr>
          <w:rStyle w:val="IDRSub-section"/>
        </w:rPr>
        <w:instrText xml:space="preserve"> XE "First impressions" </w:instrText>
      </w:r>
      <w:r w:rsidRPr="00741611">
        <w:rPr>
          <w:rStyle w:val="IDRSub-section"/>
        </w:rPr>
        <w:fldChar w:fldCharType="end"/>
      </w:r>
      <w:r w:rsidRPr="00741611">
        <w:rPr>
          <w:rStyle w:val="IDRSub-section"/>
        </w:rPr>
        <w:t>.</w:t>
      </w:r>
      <w:r w:rsidRPr="00741611">
        <w:t xml:space="preserve"> Making a good first impression can be critical when a recruiter meets a potential member of </w:t>
      </w:r>
      <w:r w:rsidRPr="00653FE9">
        <w:t>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t xml:space="preserve">. </w:t>
      </w:r>
      <w:r w:rsidRPr="00653FE9">
        <w:t>The recruiter should be friendly, but should also be sensitive to the responsibilities and workload of the contact</w:t>
      </w:r>
      <w:r>
        <w:t xml:space="preserve">. </w:t>
      </w:r>
      <w:r w:rsidRPr="00653FE9">
        <w:t>The recruiter who is met with resistance</w:t>
      </w:r>
      <w:r w:rsidRPr="00653FE9">
        <w:fldChar w:fldCharType="begin"/>
      </w:r>
      <w:r w:rsidRPr="00653FE9">
        <w:instrText xml:space="preserve"> XE "Resistance" </w:instrText>
      </w:r>
      <w:r w:rsidRPr="00653FE9">
        <w:fldChar w:fldCharType="end"/>
      </w:r>
      <w:r w:rsidRPr="00653FE9">
        <w:t xml:space="preserve"> may find it helpful to locate someone who already has a good relationship with the contact and who can allay any concerns the contact might have about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w:t>
      </w:r>
      <w:r>
        <w:t>e.g.,</w:t>
      </w:r>
      <w:r w:rsidRPr="00653FE9">
        <w:t xml:space="preserve"> a peer, a respected school</w:t>
      </w:r>
      <w:r w:rsidRPr="00653FE9">
        <w:fldChar w:fldCharType="begin"/>
      </w:r>
      <w:r w:rsidRPr="00653FE9">
        <w:instrText xml:space="preserve"> XE "School" </w:instrText>
      </w:r>
      <w:r w:rsidRPr="00653FE9">
        <w:fldChar w:fldCharType="end"/>
      </w:r>
      <w:r w:rsidRPr="00653FE9">
        <w:t xml:space="preserve"> or community</w:t>
      </w:r>
      <w:r w:rsidRPr="00653FE9">
        <w:fldChar w:fldCharType="begin"/>
      </w:r>
      <w:r w:rsidRPr="00653FE9">
        <w:instrText xml:space="preserve"> XE "Community" </w:instrText>
      </w:r>
      <w:r w:rsidRPr="00653FE9">
        <w:fldChar w:fldCharType="end"/>
      </w:r>
      <w:r w:rsidRPr="00653FE9">
        <w:t xml:space="preserve"> leader, another local agricultural employer who has given permission to do so, or a migra</w:t>
      </w:r>
      <w:r>
        <w:t>tory</w:t>
      </w:r>
      <w:r w:rsidRPr="00653FE9">
        <w:t xml:space="preserve"> family</w:t>
      </w:r>
      <w:r w:rsidRPr="00653FE9">
        <w:fldChar w:fldCharType="begin"/>
      </w:r>
      <w:r w:rsidRPr="00653FE9">
        <w:instrText xml:space="preserve"> XE "Family" </w:instrText>
      </w:r>
      <w:r w:rsidRPr="00653FE9">
        <w:fldChar w:fldCharType="end"/>
      </w:r>
      <w:r w:rsidRPr="00653FE9">
        <w:t xml:space="preserve"> who is familiar with the MEP).</w:t>
      </w:r>
    </w:p>
    <w:p w14:paraId="0685578D" w14:textId="77777777" w:rsidR="00286DC1" w:rsidRPr="00653FE9" w:rsidRDefault="00286DC1" w:rsidP="005514ED">
      <w:pPr>
        <w:pStyle w:val="IDRText"/>
      </w:pPr>
      <w:r w:rsidRPr="00741611">
        <w:rPr>
          <w:rStyle w:val="IDRSub-section"/>
        </w:rPr>
        <w:t>Importance of Trust.</w:t>
      </w:r>
      <w:r w:rsidRPr="00741611">
        <w:t xml:space="preserve"> </w:t>
      </w:r>
      <w:r w:rsidRPr="00653FE9">
        <w:t>It is important for the recruiter to earn the trust of migra</w:t>
      </w:r>
      <w:r>
        <w:t>tory</w:t>
      </w:r>
      <w:r w:rsidRPr="00653FE9">
        <w:t xml:space="preserve"> families and agricultural employers, as well as the trust of professional organizations that serve the migra</w:t>
      </w:r>
      <w:r>
        <w:t>tory</w:t>
      </w:r>
      <w:r w:rsidRPr="00653FE9">
        <w:t xml:space="preserve"> community</w:t>
      </w:r>
      <w:r w:rsidRPr="00653FE9">
        <w:fldChar w:fldCharType="begin"/>
      </w:r>
      <w:r w:rsidRPr="00653FE9">
        <w:instrText xml:space="preserve"> XE "Community" </w:instrText>
      </w:r>
      <w:r w:rsidRPr="00653FE9">
        <w:fldChar w:fldCharType="end"/>
      </w:r>
      <w:r>
        <w:t xml:space="preserve">. </w:t>
      </w:r>
      <w:r w:rsidRPr="00653FE9">
        <w:t>Migra</w:t>
      </w:r>
      <w:r>
        <w:t>tory</w:t>
      </w:r>
      <w:r w:rsidRPr="00653FE9">
        <w:t xml:space="preserve"> families often have good reasons for being careful about whom they trust</w:t>
      </w:r>
      <w:r>
        <w:t xml:space="preserve">. </w:t>
      </w:r>
      <w:r w:rsidRPr="00653FE9">
        <w:t>They</w:t>
      </w:r>
      <w:r>
        <w:t xml:space="preserve"> are vulnerable because they may not have legal standing in the U.S. or financial security. </w:t>
      </w:r>
      <w:r w:rsidRPr="00653FE9">
        <w:t>In addition, the word</w:t>
      </w:r>
      <w:r>
        <w:t>s</w:t>
      </w:r>
      <w:r w:rsidRPr="00653FE9">
        <w:t xml:space="preserve"> </w:t>
      </w:r>
      <w:r>
        <w:t>“</w:t>
      </w:r>
      <w:r w:rsidRPr="00653FE9">
        <w:t>migrant</w:t>
      </w:r>
      <w:r>
        <w:t>” or “migratory”</w:t>
      </w:r>
      <w:r w:rsidRPr="00653FE9">
        <w:t xml:space="preserve"> may have a negative connotation attached to it for some families, so the recruiter may need to be careful about terminology</w:t>
      </w:r>
      <w:r>
        <w:t xml:space="preserve">. </w:t>
      </w:r>
      <w:r w:rsidRPr="00653FE9">
        <w:t xml:space="preserve">In other languages, the word </w:t>
      </w:r>
      <w:r>
        <w:t>“</w:t>
      </w:r>
      <w:r w:rsidRPr="00653FE9">
        <w:t>migrant</w:t>
      </w:r>
      <w:r>
        <w:t>”</w:t>
      </w:r>
      <w:r w:rsidRPr="00653FE9">
        <w:t xml:space="preserve"> may imply or be confused with immigration status</w:t>
      </w:r>
      <w:r>
        <w:t xml:space="preserve">. </w:t>
      </w:r>
      <w:r w:rsidRPr="00653FE9">
        <w:t>Organizations that work with migra</w:t>
      </w:r>
      <w:r>
        <w:t>tory</w:t>
      </w:r>
      <w:r w:rsidRPr="00653FE9">
        <w:t xml:space="preserve"> families recognize the importance of maintaining the trust of their clients and therefore are careful about the information they share and with whom they share it. </w:t>
      </w:r>
    </w:p>
    <w:p w14:paraId="447C7565" w14:textId="77777777" w:rsidR="00286DC1" w:rsidRPr="00653FE9" w:rsidRDefault="00286DC1" w:rsidP="005514ED">
      <w:pPr>
        <w:pStyle w:val="IDRText"/>
      </w:pPr>
      <w:r w:rsidRPr="00653FE9">
        <w:t>The recruiter who is trusted by migra</w:t>
      </w:r>
      <w:r>
        <w:t>tory</w:t>
      </w:r>
      <w:r w:rsidRPr="00653FE9">
        <w:t xml:space="preserve"> families and youth reaps many benefits including having migra</w:t>
      </w:r>
      <w:r>
        <w:t>tory</w:t>
      </w:r>
      <w:r w:rsidRPr="00653FE9">
        <w:t xml:space="preserve"> families seek him or her out to enroll their children in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and refer other migra</w:t>
      </w:r>
      <w:r>
        <w:t>tory</w:t>
      </w:r>
      <w:r w:rsidRPr="00653FE9">
        <w:t xml:space="preserve"> families to the program</w:t>
      </w:r>
      <w:r>
        <w:t xml:space="preserve">. </w:t>
      </w:r>
      <w:r w:rsidRPr="00653FE9">
        <w:t>Families are also more likely to share the personal employment</w:t>
      </w:r>
      <w:r w:rsidRPr="00653FE9">
        <w:fldChar w:fldCharType="begin"/>
      </w:r>
      <w:r w:rsidRPr="00653FE9">
        <w:instrText xml:space="preserve"> XE "Employment" </w:instrText>
      </w:r>
      <w:r w:rsidRPr="00653FE9">
        <w:fldChar w:fldCharType="end"/>
      </w:r>
      <w:r w:rsidRPr="00653FE9">
        <w:t xml:space="preserve"> and family</w:t>
      </w:r>
      <w:r w:rsidRPr="00653FE9">
        <w:fldChar w:fldCharType="begin"/>
      </w:r>
      <w:r w:rsidRPr="00653FE9">
        <w:instrText xml:space="preserve"> XE "Family" </w:instrText>
      </w:r>
      <w:r w:rsidRPr="00653FE9">
        <w:fldChar w:fldCharType="end"/>
      </w:r>
      <w:r w:rsidRPr="00653FE9">
        <w:t xml:space="preserve"> information that is needed to document their children’s eligibility</w:t>
      </w:r>
      <w:r w:rsidRPr="00653FE9">
        <w:fldChar w:fldCharType="begin"/>
      </w:r>
      <w:r w:rsidRPr="00653FE9">
        <w:instrText xml:space="preserve"> XE "Eligibility" </w:instrText>
      </w:r>
      <w:r w:rsidRPr="00653FE9">
        <w:fldChar w:fldCharType="end"/>
      </w:r>
      <w:r w:rsidRPr="00653FE9">
        <w:t xml:space="preserve"> for the MEP (including qualifying employment that may have been performed without a legal work permit or for cash)</w:t>
      </w:r>
      <w:r>
        <w:t xml:space="preserve">. </w:t>
      </w:r>
      <w:r w:rsidRPr="00653FE9">
        <w:t>The recruiter who is trusted by those who work with migra</w:t>
      </w:r>
      <w:r>
        <w:t>tory</w:t>
      </w:r>
      <w:r w:rsidRPr="00653FE9">
        <w:t xml:space="preserve"> families can gather important information on where migra</w:t>
      </w:r>
      <w:r>
        <w:t>tory</w:t>
      </w:r>
      <w:r w:rsidRPr="00653FE9">
        <w:t xml:space="preserve"> families gather, live, and work</w:t>
      </w:r>
      <w:r>
        <w:t xml:space="preserve">. </w:t>
      </w:r>
    </w:p>
    <w:p w14:paraId="75B06DDE" w14:textId="77777777" w:rsidR="00286DC1" w:rsidRPr="00537705" w:rsidRDefault="00286DC1" w:rsidP="005514ED">
      <w:pPr>
        <w:pStyle w:val="IDRText"/>
        <w:spacing w:after="120"/>
        <w:rPr>
          <w:lang w:val="en-US"/>
        </w:rPr>
      </w:pPr>
      <w:r w:rsidRPr="00653FE9">
        <w:t>Trust is built slowly and is based on the experiences migra</w:t>
      </w:r>
      <w:r>
        <w:t>tory</w:t>
      </w:r>
      <w:r w:rsidRPr="00653FE9">
        <w:t xml:space="preserve"> families and organizations have with the individual recruiter and with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Some steps the recruiter can take to bui</w:t>
      </w:r>
      <w:r>
        <w:t xml:space="preserve">ld trust include </w:t>
      </w:r>
      <w:r>
        <w:rPr>
          <w:lang w:val="en-US"/>
        </w:rPr>
        <w:br/>
      </w:r>
      <w:r>
        <w:t>the following:</w:t>
      </w:r>
    </w:p>
    <w:p w14:paraId="0C73D71C" w14:textId="77777777" w:rsidR="00286DC1" w:rsidRPr="00653FE9" w:rsidRDefault="00286DC1" w:rsidP="005514ED">
      <w:pPr>
        <w:pStyle w:val="IDRListParagraph"/>
      </w:pPr>
      <w:r w:rsidRPr="00653FE9">
        <w:t>Provide clear information on why the recruiter is interested in finding migra</w:t>
      </w:r>
      <w:r>
        <w:t>tory</w:t>
      </w:r>
      <w:r w:rsidRPr="00653FE9">
        <w:t xml:space="preserve"> families. </w:t>
      </w:r>
    </w:p>
    <w:p w14:paraId="53101195" w14:textId="77777777" w:rsidR="00286DC1" w:rsidRPr="00653FE9" w:rsidRDefault="00286DC1" w:rsidP="005514ED">
      <w:pPr>
        <w:pStyle w:val="IDRListParagraph"/>
      </w:pPr>
      <w:r w:rsidRPr="00653FE9">
        <w:t>Describe what migra</w:t>
      </w:r>
      <w:r>
        <w:t>tory</w:t>
      </w:r>
      <w:r w:rsidRPr="00653FE9">
        <w:t xml:space="preserve"> families can expect from the MEP.</w:t>
      </w:r>
    </w:p>
    <w:p w14:paraId="2A7F54C0" w14:textId="77777777" w:rsidR="00286DC1" w:rsidRPr="00653FE9" w:rsidRDefault="00286DC1" w:rsidP="005514ED">
      <w:pPr>
        <w:pStyle w:val="IDRListParagraph"/>
      </w:pPr>
      <w:r w:rsidRPr="00653FE9">
        <w:t>Keep promises to migra</w:t>
      </w:r>
      <w:r>
        <w:t>tory</w:t>
      </w:r>
      <w:r w:rsidRPr="00653FE9">
        <w:t xml:space="preserve"> families and organization</w:t>
      </w:r>
      <w:r>
        <w:t>s</w:t>
      </w:r>
      <w:r w:rsidRPr="00653FE9">
        <w:t>; be careful not to make promises that cannot be kept.</w:t>
      </w:r>
    </w:p>
    <w:p w14:paraId="71E3187F" w14:textId="77777777" w:rsidR="00286DC1" w:rsidRPr="00653FE9" w:rsidRDefault="00286DC1" w:rsidP="005514ED">
      <w:pPr>
        <w:pStyle w:val="IDRListParagraph"/>
        <w:spacing w:after="0"/>
      </w:pPr>
      <w:r w:rsidRPr="00653FE9">
        <w:t>Protect the family’s privacy and confidentiality by not discussing other migra</w:t>
      </w:r>
      <w:r>
        <w:t>tory</w:t>
      </w:r>
      <w:r w:rsidRPr="00653FE9">
        <w:t xml:space="preserve"> parents and children except in the most positive and professional manner. Always ask permission before sharing information with other professionals or organizations (in writing</w:t>
      </w:r>
      <w:r>
        <w:rPr>
          <w:lang w:val="en-US"/>
        </w:rPr>
        <w:t>,</w:t>
      </w:r>
      <w:r w:rsidRPr="00653FE9">
        <w:t xml:space="preserve"> if needed).</w:t>
      </w:r>
    </w:p>
    <w:p w14:paraId="302FBCAB" w14:textId="77777777" w:rsidR="00286DC1" w:rsidRPr="00537705" w:rsidRDefault="00286DC1" w:rsidP="005514ED">
      <w:pPr>
        <w:pStyle w:val="IDRText"/>
        <w:rPr>
          <w:lang w:val="en-US"/>
        </w:rPr>
      </w:pPr>
      <w:r w:rsidRPr="00741611">
        <w:rPr>
          <w:rStyle w:val="IDRSub-section"/>
        </w:rPr>
        <w:lastRenderedPageBreak/>
        <w:t>Develop a Personal Relationship.</w:t>
      </w:r>
      <w:r w:rsidRPr="00741611">
        <w:t xml:space="preserve"> </w:t>
      </w:r>
      <w:r w:rsidRPr="00653FE9">
        <w:t>As with everything else,</w:t>
      </w:r>
      <w:r>
        <w:t xml:space="preserve"> personal relationships are key to</w:t>
      </w:r>
      <w:r w:rsidRPr="00653FE9">
        <w:t xml:space="preserve"> achieving success and to feeling fulfilled</w:t>
      </w:r>
      <w:r>
        <w:t xml:space="preserve">. </w:t>
      </w:r>
      <w:r w:rsidRPr="00653FE9">
        <w:t>This is true for</w:t>
      </w:r>
      <w:r w:rsidRPr="00577FD4">
        <w:t xml:space="preserve"> </w:t>
      </w:r>
      <w:r w:rsidRPr="00577FD4">
        <w:rPr>
          <w:rStyle w:val="Emphasis"/>
        </w:rPr>
        <w:t>both recruiters and members</w:t>
      </w:r>
      <w:r w:rsidRPr="00577FD4">
        <w:t xml:space="preserve"> </w:t>
      </w:r>
      <w:r w:rsidRPr="007F3E7C">
        <w:t>of</w:t>
      </w:r>
      <w:r w:rsidRPr="00741611">
        <w:t xml:space="preserve"> </w:t>
      </w:r>
      <w:r w:rsidRPr="007F3E7C">
        <w:t>t</w:t>
      </w:r>
      <w:r w:rsidRPr="00653FE9">
        <w:t>he recruiter’s network</w:t>
      </w:r>
      <w:r w:rsidRPr="00653FE9">
        <w:fldChar w:fldCharType="begin"/>
      </w:r>
      <w:r w:rsidRPr="00653FE9">
        <w:instrText xml:space="preserve"> XE "Network" </w:instrText>
      </w:r>
      <w:r w:rsidRPr="00653FE9">
        <w:fldChar w:fldCharType="end"/>
      </w:r>
      <w:r>
        <w:t xml:space="preserve">. </w:t>
      </w:r>
      <w:r w:rsidRPr="00653FE9">
        <w:t>Learning</w:t>
      </w:r>
      <w:r w:rsidRPr="00653FE9">
        <w:fldChar w:fldCharType="begin"/>
      </w:r>
      <w:r w:rsidRPr="00653FE9">
        <w:instrText xml:space="preserve"> XE "Learning" </w:instrText>
      </w:r>
      <w:r w:rsidRPr="00653FE9">
        <w:fldChar w:fldCharType="end"/>
      </w:r>
      <w:r w:rsidRPr="00653FE9">
        <w:t xml:space="preserve"> specific information about key contacts can help the recruiter develop an effective professional relationship with members of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t>. For example:</w:t>
      </w:r>
    </w:p>
    <w:p w14:paraId="3265C19E" w14:textId="77777777" w:rsidR="00286DC1" w:rsidRPr="00653FE9" w:rsidRDefault="00286DC1" w:rsidP="005514ED">
      <w:pPr>
        <w:pStyle w:val="IDRListParagraph"/>
      </w:pPr>
      <w:r w:rsidRPr="00653FE9">
        <w:t>What is the crew chief’s name?</w:t>
      </w:r>
    </w:p>
    <w:p w14:paraId="04C1878B" w14:textId="77777777" w:rsidR="00286DC1" w:rsidRPr="00653FE9" w:rsidRDefault="00286DC1" w:rsidP="005514ED">
      <w:pPr>
        <w:pStyle w:val="IDRListParagraph"/>
      </w:pPr>
      <w:r w:rsidRPr="00653FE9">
        <w:t>When is the school secretary’s birthday?</w:t>
      </w:r>
    </w:p>
    <w:p w14:paraId="0F799B5E" w14:textId="77777777" w:rsidR="00286DC1" w:rsidRPr="00653FE9" w:rsidRDefault="00286DC1" w:rsidP="005514ED">
      <w:pPr>
        <w:pStyle w:val="IDRListParagraph"/>
      </w:pPr>
      <w:r w:rsidRPr="00653FE9">
        <w:t>Has a local farmer fully recovered from a recent illness?</w:t>
      </w:r>
    </w:p>
    <w:p w14:paraId="474A1DA5" w14:textId="77777777" w:rsidR="00286DC1" w:rsidRPr="00653FE9" w:rsidRDefault="00286DC1" w:rsidP="005514ED">
      <w:pPr>
        <w:pStyle w:val="IDRListParagraph"/>
      </w:pPr>
      <w:r w:rsidRPr="00653FE9">
        <w:t>When is the best time of day to catch Jaime, an OSY?</w:t>
      </w:r>
    </w:p>
    <w:p w14:paraId="01601B23" w14:textId="77777777" w:rsidR="00286DC1" w:rsidRPr="00653FE9" w:rsidRDefault="00286DC1" w:rsidP="005514ED">
      <w:pPr>
        <w:pStyle w:val="IDRListParagraph"/>
      </w:pPr>
      <w:r w:rsidRPr="00653FE9">
        <w:t>Where do local migra</w:t>
      </w:r>
      <w:r>
        <w:t>tory</w:t>
      </w:r>
      <w:r w:rsidRPr="00653FE9">
        <w:t xml:space="preserve"> workers congregate on a Saturday night?</w:t>
      </w:r>
    </w:p>
    <w:p w14:paraId="5EFDB92C" w14:textId="77777777" w:rsidR="00286DC1" w:rsidRPr="00741611" w:rsidRDefault="00286DC1" w:rsidP="005514ED">
      <w:pPr>
        <w:pStyle w:val="IDRText"/>
      </w:pPr>
      <w:r w:rsidRPr="00653FE9">
        <w:t>Many successful recruiters make an effort to learn these types of details, include them in their contact sheets, and act on them</w:t>
      </w:r>
      <w:r>
        <w:t xml:space="preserve">. </w:t>
      </w:r>
      <w:r w:rsidRPr="00653FE9">
        <w:t xml:space="preserve">For example, the successful recruiter asks about the secretary’s children each time they meet, wishes people a happy birthday, asks for the crew chief by name, </w:t>
      </w:r>
      <w:r>
        <w:rPr>
          <w:lang w:val="en-US"/>
        </w:rPr>
        <w:br/>
      </w:r>
      <w:r w:rsidRPr="00653FE9">
        <w:t>visits</w:t>
      </w:r>
      <w:r w:rsidRPr="00653FE9">
        <w:fldChar w:fldCharType="begin"/>
      </w:r>
      <w:r w:rsidRPr="00653FE9">
        <w:instrText xml:space="preserve"> XE "Visit" </w:instrText>
      </w:r>
      <w:r w:rsidRPr="00653FE9">
        <w:fldChar w:fldCharType="end"/>
      </w:r>
      <w:r w:rsidRPr="00653FE9">
        <w:t xml:space="preserve"> Jaime at 7:00 p.m. after he gets off work, and participates in the social life of the migra</w:t>
      </w:r>
      <w:r>
        <w:t>tory</w:t>
      </w:r>
      <w:r w:rsidRPr="00653FE9">
        <w:t xml:space="preserve"> community</w:t>
      </w:r>
      <w:r w:rsidRPr="00653FE9">
        <w:fldChar w:fldCharType="begin"/>
      </w:r>
      <w:r w:rsidRPr="00653FE9">
        <w:instrText xml:space="preserve"> XE "Community" </w:instrText>
      </w:r>
      <w:r w:rsidRPr="00653FE9">
        <w:fldChar w:fldCharType="end"/>
      </w:r>
      <w:r>
        <w:t xml:space="preserve">. </w:t>
      </w:r>
    </w:p>
    <w:p w14:paraId="46B5B450" w14:textId="77777777" w:rsidR="00286DC1" w:rsidRPr="00741611" w:rsidRDefault="00286DC1" w:rsidP="005514ED">
      <w:pPr>
        <w:pStyle w:val="IDRText"/>
      </w:pPr>
      <w:r w:rsidRPr="00741611">
        <w:rPr>
          <w:rStyle w:val="IDRSub-section"/>
        </w:rPr>
        <w:t>Communicate Regularly.</w:t>
      </w:r>
      <w:r w:rsidRPr="00741611">
        <w:t xml:space="preserve"> </w:t>
      </w:r>
      <w:r w:rsidRPr="00653FE9">
        <w:t>The recruiter should maintain ongoing contact with the members of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by attending key meetings</w:t>
      </w:r>
      <w:r w:rsidRPr="00653FE9">
        <w:fldChar w:fldCharType="begin"/>
      </w:r>
      <w:r w:rsidRPr="00653FE9">
        <w:instrText xml:space="preserve"> XE "Meeting" </w:instrText>
      </w:r>
      <w:r w:rsidRPr="00653FE9">
        <w:fldChar w:fldCharType="end"/>
      </w:r>
      <w:r w:rsidRPr="00653FE9">
        <w:t xml:space="preserve"> and events</w:t>
      </w:r>
      <w:r>
        <w:t xml:space="preserve">. </w:t>
      </w:r>
      <w:r w:rsidRPr="00653FE9">
        <w:t>School</w:t>
      </w:r>
      <w:r w:rsidRPr="00653FE9">
        <w:fldChar w:fldCharType="begin"/>
      </w:r>
      <w:r w:rsidRPr="00653FE9">
        <w:instrText xml:space="preserve"> XE "School" </w:instrText>
      </w:r>
      <w:r w:rsidRPr="00653FE9">
        <w:fldChar w:fldCharType="end"/>
      </w:r>
      <w:r w:rsidRPr="00653FE9">
        <w:t>s, employers, and community</w:t>
      </w:r>
      <w:r w:rsidRPr="00653FE9">
        <w:fldChar w:fldCharType="begin"/>
      </w:r>
      <w:r w:rsidRPr="00653FE9">
        <w:instrText xml:space="preserve"> XE "Community" </w:instrText>
      </w:r>
      <w:r w:rsidRPr="00653FE9">
        <w:fldChar w:fldCharType="end"/>
      </w:r>
      <w:r w:rsidRPr="00653FE9">
        <w:t xml:space="preserve"> service providers may have their own meetings</w:t>
      </w:r>
      <w:r w:rsidRPr="00653FE9">
        <w:fldChar w:fldCharType="begin"/>
      </w:r>
      <w:r w:rsidRPr="00653FE9">
        <w:instrText xml:space="preserve"> XE "Meeting" </w:instrText>
      </w:r>
      <w:r w:rsidRPr="00653FE9">
        <w:fldChar w:fldCharType="end"/>
      </w:r>
      <w:r w:rsidRPr="00653FE9">
        <w:t>, or may have collaborative groups that meet for everyone’s benefit</w:t>
      </w:r>
      <w:r>
        <w:t xml:space="preserve">. </w:t>
      </w:r>
      <w:r w:rsidRPr="00653FE9">
        <w:t>In addition to maintaining professional contacts, this is an opportunity for the recruiter to educate the recruitment network</w:t>
      </w:r>
      <w:r w:rsidRPr="00653FE9">
        <w:fldChar w:fldCharType="begin"/>
      </w:r>
      <w:r w:rsidRPr="00653FE9">
        <w:instrText xml:space="preserve"> XE “Network" </w:instrText>
      </w:r>
      <w:r w:rsidRPr="00653FE9">
        <w:fldChar w:fldCharType="end"/>
      </w:r>
      <w:r w:rsidRPr="00653FE9">
        <w:t xml:space="preserve"> on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 xml:space="preserve">If it is not possible to have ongoing </w:t>
      </w:r>
      <w:r>
        <w:rPr>
          <w:lang w:val="en-US"/>
        </w:rPr>
        <w:br/>
      </w:r>
      <w:r w:rsidRPr="00653FE9">
        <w:t>one-on-one contact, there are other ways the recruiter can develop and maintain professional relationships</w:t>
      </w:r>
      <w:r>
        <w:t xml:space="preserve">. </w:t>
      </w:r>
      <w:r w:rsidRPr="00653FE9">
        <w:t xml:space="preserve">For example, occasional telephone calls can be an effective way of reminding </w:t>
      </w:r>
      <w:r>
        <w:rPr>
          <w:lang w:val="en-US"/>
        </w:rPr>
        <w:br/>
      </w:r>
      <w:r w:rsidRPr="00653FE9">
        <w:t>contacts about the services and successes of the MEP</w:t>
      </w:r>
      <w:r>
        <w:t xml:space="preserve">. </w:t>
      </w:r>
      <w:r w:rsidRPr="00653FE9">
        <w:t>It is important that the recruiter follow up with contacts regularly to get new information and to let the contact know the relationship is valued.</w:t>
      </w:r>
    </w:p>
    <w:p w14:paraId="43D33282" w14:textId="77777777" w:rsidR="00286DC1" w:rsidRPr="00653FE9" w:rsidRDefault="00286DC1" w:rsidP="005514ED">
      <w:pPr>
        <w:pStyle w:val="IDRText"/>
      </w:pPr>
      <w:r w:rsidRPr="00741611">
        <w:rPr>
          <w:rStyle w:val="IDRSub-section"/>
        </w:rPr>
        <w:t>Follow Up Quickly on Referrals</w:t>
      </w:r>
      <w:r w:rsidRPr="00741611">
        <w:rPr>
          <w:rStyle w:val="IDRSub-section"/>
        </w:rPr>
        <w:fldChar w:fldCharType="begin"/>
      </w:r>
      <w:r w:rsidRPr="00741611">
        <w:rPr>
          <w:rStyle w:val="IDRSub-section"/>
        </w:rPr>
        <w:instrText xml:space="preserve"> XE "Referrals" </w:instrText>
      </w:r>
      <w:r w:rsidRPr="00741611">
        <w:rPr>
          <w:rStyle w:val="IDRSub-section"/>
        </w:rPr>
        <w:fldChar w:fldCharType="end"/>
      </w:r>
      <w:r w:rsidRPr="00741611">
        <w:rPr>
          <w:rStyle w:val="IDRSub-section"/>
        </w:rPr>
        <w:t>.</w:t>
      </w:r>
      <w:r w:rsidRPr="00741611">
        <w:t xml:space="preserve"> Each time the recruiter receives a referral it is important to call or visit</w:t>
      </w:r>
      <w:r w:rsidRPr="00741611">
        <w:fldChar w:fldCharType="begin"/>
      </w:r>
      <w:r w:rsidRPr="00741611">
        <w:instrText xml:space="preserve"> XE "Visit" </w:instrText>
      </w:r>
      <w:r w:rsidRPr="00741611">
        <w:fldChar w:fldCharType="end"/>
      </w:r>
      <w:r w:rsidRPr="00741611">
        <w:t xml:space="preserve"> the contact to acknowledge the referral</w:t>
      </w:r>
      <w:r w:rsidRPr="00653FE9">
        <w:t xml:space="preserve"> and to share the results, particularly if it resulted in a child</w:t>
      </w:r>
      <w:r w:rsidRPr="00653FE9">
        <w:fldChar w:fldCharType="begin"/>
      </w:r>
      <w:r w:rsidRPr="00653FE9">
        <w:instrText xml:space="preserve"> XE "Child" </w:instrText>
      </w:r>
      <w:r w:rsidRPr="00653FE9">
        <w:fldChar w:fldCharType="end"/>
      </w:r>
      <w:r w:rsidRPr="00653FE9">
        <w:t>’s enrollment in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Many programs send cards or official letters from the MEP offering thanks</w:t>
      </w:r>
      <w:r>
        <w:t xml:space="preserve">. </w:t>
      </w:r>
      <w:r w:rsidRPr="00653FE9">
        <w:t>Taking the time to follow up with contacts validates their effort and good will and can motivate them to provide future leads.</w:t>
      </w:r>
    </w:p>
    <w:p w14:paraId="18459014" w14:textId="77777777" w:rsidR="00286DC1" w:rsidRPr="00653FE9" w:rsidRDefault="00286DC1" w:rsidP="005514ED">
      <w:pPr>
        <w:pStyle w:val="IDRText"/>
      </w:pPr>
      <w:r w:rsidRPr="00653FE9">
        <w:t>If the recruiter does not follow up on leads quickly, migra</w:t>
      </w:r>
      <w:r>
        <w:t>tory</w:t>
      </w:r>
      <w:r w:rsidRPr="00653FE9">
        <w:t xml:space="preserve"> children may not receive extra support</w:t>
      </w:r>
      <w:r w:rsidRPr="00653FE9">
        <w:fldChar w:fldCharType="begin"/>
      </w:r>
      <w:r w:rsidRPr="00653FE9">
        <w:instrText xml:space="preserve"> XE "support" </w:instrText>
      </w:r>
      <w:r w:rsidRPr="00653FE9">
        <w:fldChar w:fldCharType="end"/>
      </w:r>
      <w:r w:rsidRPr="00653FE9">
        <w:t xml:space="preserve"> and educational services they urgently need</w:t>
      </w:r>
      <w:r>
        <w:t xml:space="preserve">. </w:t>
      </w:r>
      <w:r w:rsidRPr="00653FE9">
        <w:t>Furthermore, contacts may stop providing leads if the recruiter does not visit</w:t>
      </w:r>
      <w:r w:rsidRPr="00653FE9">
        <w:fldChar w:fldCharType="begin"/>
      </w:r>
      <w:r w:rsidRPr="00653FE9">
        <w:instrText xml:space="preserve"> XE "Visit" </w:instrText>
      </w:r>
      <w:r w:rsidRPr="00653FE9">
        <w:fldChar w:fldCharType="end"/>
      </w:r>
      <w:r w:rsidRPr="00653FE9">
        <w:t xml:space="preserve"> the family</w:t>
      </w:r>
      <w:r w:rsidRPr="00653FE9">
        <w:fldChar w:fldCharType="begin"/>
      </w:r>
      <w:r w:rsidRPr="00653FE9">
        <w:instrText xml:space="preserve"> XE "Family" </w:instrText>
      </w:r>
      <w:r w:rsidRPr="00653FE9">
        <w:fldChar w:fldCharType="end"/>
      </w:r>
      <w:r w:rsidRPr="00653FE9">
        <w:t xml:space="preserve"> or youth</w:t>
      </w:r>
      <w:r w:rsidRPr="00653FE9">
        <w:fldChar w:fldCharType="begin"/>
      </w:r>
      <w:r w:rsidRPr="00653FE9">
        <w:instrText xml:space="preserve"> XE "Youth" </w:instrText>
      </w:r>
      <w:r w:rsidRPr="00653FE9">
        <w:fldChar w:fldCharType="end"/>
      </w:r>
      <w:r w:rsidRPr="00653FE9">
        <w:t xml:space="preserve"> in a timely manner</w:t>
      </w:r>
      <w:r>
        <w:t xml:space="preserve">. </w:t>
      </w:r>
    </w:p>
    <w:p w14:paraId="3FB5037E" w14:textId="77777777" w:rsidR="00286DC1" w:rsidRPr="00653FE9" w:rsidRDefault="00286DC1" w:rsidP="005514ED">
      <w:pPr>
        <w:pStyle w:val="IDRText"/>
      </w:pPr>
      <w:r w:rsidRPr="00653FE9">
        <w:t>Getting information through personal contacts is one of the most valuable strategies the recruiter can employ</w:t>
      </w:r>
      <w:r>
        <w:t xml:space="preserve">. </w:t>
      </w:r>
      <w:r w:rsidRPr="00653FE9">
        <w:t>The recruiter should think carefully about how to establish good relationships with key members of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t>, and how to increase their awareness and understanding of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For network</w:t>
      </w:r>
      <w:r w:rsidRPr="00653FE9">
        <w:fldChar w:fldCharType="begin"/>
      </w:r>
      <w:r w:rsidRPr="00653FE9">
        <w:instrText xml:space="preserve"> XE “Network" </w:instrText>
      </w:r>
      <w:r w:rsidRPr="00653FE9">
        <w:fldChar w:fldCharType="end"/>
      </w:r>
      <w:r w:rsidRPr="00653FE9">
        <w:t xml:space="preserve"> contacts to understand the benefit of sharing information, the recruiter and the MEP must be perceived as credible and as delivering a quality service</w:t>
      </w:r>
      <w:r>
        <w:t xml:space="preserve">. </w:t>
      </w:r>
    </w:p>
    <w:p w14:paraId="1E53C368" w14:textId="77777777" w:rsidR="00286DC1" w:rsidRPr="00537705" w:rsidRDefault="00286DC1" w:rsidP="005514ED">
      <w:pPr>
        <w:pStyle w:val="IDRText"/>
        <w:rPr>
          <w:lang w:val="en-US"/>
        </w:rPr>
      </w:pPr>
      <w:r w:rsidRPr="00741611">
        <w:rPr>
          <w:rStyle w:val="IDRSub-section"/>
        </w:rPr>
        <w:lastRenderedPageBreak/>
        <w:t>Surveys</w:t>
      </w:r>
      <w:r w:rsidRPr="00741611">
        <w:rPr>
          <w:rStyle w:val="IDRSub-section"/>
        </w:rPr>
        <w:fldChar w:fldCharType="begin"/>
      </w:r>
      <w:r w:rsidRPr="00741611">
        <w:rPr>
          <w:rStyle w:val="IDRSub-section"/>
        </w:rPr>
        <w:instrText xml:space="preserve"> XE "Surveys" </w:instrText>
      </w:r>
      <w:r w:rsidRPr="00741611">
        <w:rPr>
          <w:rStyle w:val="IDRSub-section"/>
        </w:rPr>
        <w:fldChar w:fldCharType="end"/>
      </w:r>
      <w:r w:rsidRPr="00741611">
        <w:rPr>
          <w:rStyle w:val="IDRSub-section"/>
        </w:rPr>
        <w:t>/Questionnaires.</w:t>
      </w:r>
      <w:r w:rsidRPr="00741611">
        <w:t xml:space="preserve"> </w:t>
      </w:r>
      <w:r w:rsidRPr="00653FE9">
        <w:t>Surveys are another effective way of gathering information from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t xml:space="preserve">. </w:t>
      </w:r>
      <w:r w:rsidRPr="00653FE9">
        <w:t>Survey forms often vary depending on where and how they are administered</w:t>
      </w:r>
      <w:r>
        <w:t xml:space="preserve">. </w:t>
      </w:r>
      <w:r w:rsidRPr="00653FE9">
        <w:t xml:space="preserve">However, common </w:t>
      </w:r>
      <w:r>
        <w:t>survey questions often include</w:t>
      </w:r>
    </w:p>
    <w:p w14:paraId="0E7C1CF7" w14:textId="77777777" w:rsidR="00286DC1" w:rsidRPr="00653FE9" w:rsidRDefault="00286DC1" w:rsidP="005514ED">
      <w:pPr>
        <w:pStyle w:val="IDRListParagraph"/>
      </w:pPr>
      <w:r w:rsidRPr="00653FE9">
        <w:t>Have you or your family</w:t>
      </w:r>
      <w:r w:rsidRPr="00653FE9">
        <w:fldChar w:fldCharType="begin"/>
      </w:r>
      <w:r w:rsidRPr="00653FE9">
        <w:instrText xml:space="preserve"> XE "Family" </w:instrText>
      </w:r>
      <w:r w:rsidRPr="00653FE9">
        <w:fldChar w:fldCharType="end"/>
      </w:r>
      <w:r w:rsidRPr="00653FE9">
        <w:t xml:space="preserve"> moved within the past three years?</w:t>
      </w:r>
    </w:p>
    <w:p w14:paraId="4A6FDB57" w14:textId="77777777" w:rsidR="003166D8" w:rsidRPr="00537705" w:rsidRDefault="00286DC1" w:rsidP="00741611">
      <w:pPr>
        <w:pStyle w:val="IDRListParagraph"/>
        <w:spacing w:after="0"/>
      </w:pPr>
      <w:r w:rsidRPr="00653FE9">
        <w:t>Have you looked for work in agriculture or fishing</w:t>
      </w:r>
      <w:r w:rsidRPr="00653FE9">
        <w:fldChar w:fldCharType="begin"/>
      </w:r>
      <w:r w:rsidRPr="00653FE9">
        <w:instrText xml:space="preserve"> XE "Fishing Activity" </w:instrText>
      </w:r>
      <w:r w:rsidRPr="00653FE9">
        <w:fldChar w:fldCharType="end"/>
      </w:r>
      <w:r>
        <w:t>?</w:t>
      </w:r>
    </w:p>
    <w:p w14:paraId="403E6781" w14:textId="77777777" w:rsidR="00286DC1" w:rsidRPr="00537705" w:rsidRDefault="00286DC1" w:rsidP="005514ED">
      <w:pPr>
        <w:pStyle w:val="IDRText"/>
        <w:rPr>
          <w:lang w:val="en-US"/>
        </w:rPr>
      </w:pPr>
      <w:r w:rsidRPr="00653FE9">
        <w:t>Some programs try to ask questions in more than one way on a survey form in case the reader does not fully understand the question the first time</w:t>
      </w:r>
      <w:r>
        <w:t xml:space="preserve">. </w:t>
      </w:r>
      <w:r w:rsidRPr="00653FE9">
        <w:t>The following are common types of surveys</w:t>
      </w:r>
      <w:r w:rsidRPr="00653FE9">
        <w:fldChar w:fldCharType="begin"/>
      </w:r>
      <w:r w:rsidRPr="00653FE9">
        <w:instrText xml:space="preserve"> XE "Surveys" </w:instrText>
      </w:r>
      <w:r w:rsidRPr="00653FE9">
        <w:fldChar w:fldCharType="end"/>
      </w:r>
      <w:r>
        <w:t>:</w:t>
      </w:r>
    </w:p>
    <w:p w14:paraId="3515A3F8" w14:textId="77777777" w:rsidR="00286DC1" w:rsidRPr="00653FE9" w:rsidRDefault="00286DC1" w:rsidP="005514ED">
      <w:pPr>
        <w:pStyle w:val="IDRListParagraph"/>
      </w:pPr>
      <w:r w:rsidRPr="00741611">
        <w:rPr>
          <w:rStyle w:val="IDRSub-section"/>
        </w:rPr>
        <w:t>Employer</w:t>
      </w:r>
      <w:r w:rsidRPr="00741611">
        <w:rPr>
          <w:rStyle w:val="IDRSub-section"/>
        </w:rPr>
        <w:fldChar w:fldCharType="begin"/>
      </w:r>
      <w:r w:rsidRPr="00741611">
        <w:rPr>
          <w:rStyle w:val="IDRSub-section"/>
        </w:rPr>
        <w:instrText xml:space="preserve"> XE "Employer" </w:instrText>
      </w:r>
      <w:r w:rsidRPr="00741611">
        <w:rPr>
          <w:rStyle w:val="IDRSub-section"/>
        </w:rPr>
        <w:fldChar w:fldCharType="end"/>
      </w:r>
      <w:r w:rsidRPr="00741611">
        <w:rPr>
          <w:rStyle w:val="IDRSub-section"/>
        </w:rPr>
        <w:t>/workplace surveys</w:t>
      </w:r>
      <w:r w:rsidRPr="00741611">
        <w:rPr>
          <w:rStyle w:val="IDRSub-section"/>
        </w:rPr>
        <w:fldChar w:fldCharType="begin"/>
      </w:r>
      <w:r w:rsidRPr="00741611">
        <w:rPr>
          <w:rStyle w:val="IDRSub-section"/>
        </w:rPr>
        <w:instrText xml:space="preserve"> XE "Surveys" </w:instrText>
      </w:r>
      <w:r w:rsidRPr="00741611">
        <w:rPr>
          <w:rStyle w:val="IDRSub-section"/>
        </w:rPr>
        <w:fldChar w:fldCharType="end"/>
      </w:r>
      <w:r w:rsidRPr="00741611">
        <w:rPr>
          <w:rStyle w:val="IDRSub-section"/>
        </w:rPr>
        <w:t xml:space="preserve">. </w:t>
      </w:r>
      <w:r w:rsidRPr="00653FE9">
        <w:t>The recruiter should survey local</w:t>
      </w:r>
      <w:r w:rsidRPr="00653FE9">
        <w:fldChar w:fldCharType="begin"/>
      </w:r>
      <w:r w:rsidRPr="00653FE9">
        <w:instrText xml:space="preserve"> XE "Local" </w:instrText>
      </w:r>
      <w:r w:rsidRPr="00653FE9">
        <w:fldChar w:fldCharType="end"/>
      </w:r>
      <w:r w:rsidRPr="00653FE9">
        <w:t xml:space="preserve"> employers to determine which ones are the most likely to hire migra</w:t>
      </w:r>
      <w:r>
        <w:t>tory</w:t>
      </w:r>
      <w:r w:rsidRPr="00653FE9">
        <w:t xml:space="preserve"> workers (see the sample Migrant Education </w:t>
      </w:r>
      <w:r>
        <w:t xml:space="preserve">Program </w:t>
      </w:r>
      <w:r w:rsidRPr="00653FE9">
        <w:t xml:space="preserve">Workplace Survey form in </w:t>
      </w:r>
      <w:r w:rsidRPr="007738CE">
        <w:t>Appendix III</w:t>
      </w:r>
      <w:r w:rsidRPr="00653FE9">
        <w:t>)</w:t>
      </w:r>
      <w:r>
        <w:t xml:space="preserve">. </w:t>
      </w:r>
      <w:r w:rsidRPr="00653FE9">
        <w:t>Once the recruiter has identified these employers, the recruiter should encourage them to have new employees complete a MEP survey as part of the hiring</w:t>
      </w:r>
      <w:r w:rsidRPr="00653FE9">
        <w:fldChar w:fldCharType="begin"/>
      </w:r>
      <w:r w:rsidRPr="00653FE9">
        <w:instrText xml:space="preserve"> XE "Hiring recruiters" </w:instrText>
      </w:r>
      <w:r w:rsidRPr="00653FE9">
        <w:fldChar w:fldCharType="end"/>
      </w:r>
      <w:r w:rsidRPr="00653FE9">
        <w:t xml:space="preserve"> process. Other programs have found success by having MEP surveys and recruiter contact information inserted in with workers’ paychecks. The purpose of the MEP survey is to identify those workers who are the most likely to have children who qualify</w:t>
      </w:r>
      <w:r w:rsidRPr="00653FE9">
        <w:fldChar w:fldCharType="begin"/>
      </w:r>
      <w:r w:rsidRPr="00653FE9">
        <w:instrText xml:space="preserve"> XE "Qualify" </w:instrText>
      </w:r>
      <w:r w:rsidRPr="00653FE9">
        <w:fldChar w:fldCharType="end"/>
      </w:r>
      <w:r w:rsidRPr="00653FE9">
        <w:t xml:space="preserve"> for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Pr>
          <w:lang w:val="en-US"/>
        </w:rPr>
        <w:t>S</w:t>
      </w:r>
      <w:r w:rsidRPr="00653FE9">
        <w:t xml:space="preserve">ee the sample Migrant Education </w:t>
      </w:r>
      <w:r>
        <w:t xml:space="preserve">Program </w:t>
      </w:r>
      <w:r w:rsidRPr="00653FE9">
        <w:t xml:space="preserve">Employee Survey form in </w:t>
      </w:r>
      <w:r w:rsidRPr="007738CE">
        <w:t>Appendix III</w:t>
      </w:r>
      <w:r>
        <w:rPr>
          <w:lang w:val="en-US"/>
        </w:rPr>
        <w:t>.</w:t>
      </w:r>
      <w:r w:rsidRPr="00653FE9">
        <w:t>)</w:t>
      </w:r>
      <w:r>
        <w:t xml:space="preserve"> </w:t>
      </w:r>
    </w:p>
    <w:p w14:paraId="1A402E59" w14:textId="77777777" w:rsidR="00286DC1" w:rsidRPr="00653FE9" w:rsidRDefault="00286DC1" w:rsidP="005514ED">
      <w:pPr>
        <w:pStyle w:val="IDRListParagraph"/>
      </w:pPr>
      <w:r w:rsidRPr="00741611">
        <w:rPr>
          <w:rStyle w:val="IDRSub-section"/>
        </w:rPr>
        <w:t>School</w:t>
      </w:r>
      <w:r w:rsidRPr="00741611">
        <w:rPr>
          <w:rStyle w:val="IDRSub-section"/>
        </w:rPr>
        <w:fldChar w:fldCharType="begin"/>
      </w:r>
      <w:r w:rsidRPr="00741611">
        <w:rPr>
          <w:rStyle w:val="IDRSub-section"/>
        </w:rPr>
        <w:instrText xml:space="preserve"> XE "School" </w:instrText>
      </w:r>
      <w:r w:rsidRPr="00741611">
        <w:rPr>
          <w:rStyle w:val="IDRSub-section"/>
        </w:rPr>
        <w:fldChar w:fldCharType="end"/>
      </w:r>
      <w:r w:rsidRPr="00741611">
        <w:rPr>
          <w:rStyle w:val="IDRSub-section"/>
        </w:rPr>
        <w:t xml:space="preserve"> surveys</w:t>
      </w:r>
      <w:r w:rsidRPr="00741611">
        <w:rPr>
          <w:rStyle w:val="IDRSub-section"/>
        </w:rPr>
        <w:fldChar w:fldCharType="begin"/>
      </w:r>
      <w:r w:rsidRPr="00741611">
        <w:rPr>
          <w:rStyle w:val="IDRSub-section"/>
        </w:rPr>
        <w:instrText xml:space="preserve"> XE "Surveys" </w:instrText>
      </w:r>
      <w:r w:rsidRPr="00741611">
        <w:rPr>
          <w:rStyle w:val="IDRSub-section"/>
        </w:rPr>
        <w:fldChar w:fldCharType="end"/>
      </w:r>
      <w:r w:rsidRPr="00741611">
        <w:rPr>
          <w:rStyle w:val="IDRSub-section"/>
        </w:rPr>
        <w:t>.</w:t>
      </w:r>
      <w:r w:rsidRPr="00741611">
        <w:t xml:space="preserve"> </w:t>
      </w:r>
      <w:r w:rsidRPr="00653FE9">
        <w:t>The recruiter should determine the schools that are the most likely to enroll migra</w:t>
      </w:r>
      <w:r>
        <w:t>tory</w:t>
      </w:r>
      <w:r w:rsidRPr="00653FE9">
        <w:t xml:space="preserve"> students based on the presence of a local agricultural community and industry and ask them to distribute migra</w:t>
      </w:r>
      <w:r>
        <w:t>tory</w:t>
      </w:r>
      <w:r w:rsidRPr="00653FE9">
        <w:t xml:space="preserve"> surveys to every family</w:t>
      </w:r>
      <w:r w:rsidRPr="00653FE9">
        <w:fldChar w:fldCharType="begin"/>
      </w:r>
      <w:r w:rsidRPr="00653FE9">
        <w:instrText xml:space="preserve"> XE "Family" </w:instrText>
      </w:r>
      <w:r w:rsidRPr="00653FE9">
        <w:fldChar w:fldCharType="end"/>
      </w:r>
      <w:r w:rsidRPr="00653FE9">
        <w:t xml:space="preserve"> during the annual registration process</w:t>
      </w:r>
      <w:r>
        <w:t xml:space="preserve">. </w:t>
      </w:r>
      <w:r w:rsidRPr="00653FE9">
        <w:t>These schools should also be encouraged to distribute surveys to families who enroll their children</w:t>
      </w:r>
      <w:r>
        <w:t xml:space="preserve"> after the school year begins (</w:t>
      </w:r>
      <w:r>
        <w:rPr>
          <w:lang w:val="en-US"/>
        </w:rPr>
        <w:t>S</w:t>
      </w:r>
      <w:r w:rsidRPr="00653FE9">
        <w:t xml:space="preserve">ee the sample Migrant Education </w:t>
      </w:r>
      <w:r>
        <w:t xml:space="preserve">Program </w:t>
      </w:r>
      <w:r w:rsidRPr="00653FE9">
        <w:t>School Survey form in Appendix III</w:t>
      </w:r>
      <w:r>
        <w:rPr>
          <w:lang w:val="en-US"/>
        </w:rPr>
        <w:t>.</w:t>
      </w:r>
      <w:r w:rsidRPr="00653FE9">
        <w:t>)</w:t>
      </w:r>
      <w:r>
        <w:t xml:space="preserve"> </w:t>
      </w:r>
    </w:p>
    <w:p w14:paraId="2B3ECA39" w14:textId="77777777" w:rsidR="00286DC1" w:rsidRPr="00653FE9" w:rsidRDefault="00286DC1" w:rsidP="005514ED">
      <w:pPr>
        <w:pStyle w:val="IDRListParagraph"/>
        <w:spacing w:after="0"/>
      </w:pPr>
      <w:r w:rsidRPr="00741611">
        <w:rPr>
          <w:rStyle w:val="IDRSub-section"/>
        </w:rPr>
        <w:t>Community</w:t>
      </w:r>
      <w:r w:rsidRPr="00741611">
        <w:rPr>
          <w:rStyle w:val="IDRSub-section"/>
        </w:rPr>
        <w:fldChar w:fldCharType="begin"/>
      </w:r>
      <w:r w:rsidRPr="00741611">
        <w:rPr>
          <w:rStyle w:val="IDRSub-section"/>
        </w:rPr>
        <w:instrText xml:space="preserve"> XE "Community" </w:instrText>
      </w:r>
      <w:r w:rsidRPr="00741611">
        <w:rPr>
          <w:rStyle w:val="IDRSub-section"/>
        </w:rPr>
        <w:fldChar w:fldCharType="end"/>
      </w:r>
      <w:r w:rsidRPr="00741611">
        <w:rPr>
          <w:rStyle w:val="IDRSub-section"/>
        </w:rPr>
        <w:t xml:space="preserve"> agency surveys</w:t>
      </w:r>
      <w:r w:rsidRPr="00741611">
        <w:rPr>
          <w:rStyle w:val="IDRSub-section"/>
        </w:rPr>
        <w:fldChar w:fldCharType="begin"/>
      </w:r>
      <w:r w:rsidRPr="00741611">
        <w:rPr>
          <w:rStyle w:val="IDRSub-section"/>
        </w:rPr>
        <w:instrText xml:space="preserve"> XE "Surveys" </w:instrText>
      </w:r>
      <w:r w:rsidRPr="00741611">
        <w:rPr>
          <w:rStyle w:val="IDRSub-section"/>
        </w:rPr>
        <w:fldChar w:fldCharType="end"/>
      </w:r>
      <w:r w:rsidRPr="00741611">
        <w:rPr>
          <w:rStyle w:val="IDRSub-section"/>
        </w:rPr>
        <w:t>.</w:t>
      </w:r>
      <w:r w:rsidRPr="00741611">
        <w:t xml:space="preserve"> </w:t>
      </w:r>
      <w:r w:rsidRPr="00653FE9">
        <w:t>The recruiter should encourage community agencies to include screening questions as a part of their intake process to help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identify migra</w:t>
      </w:r>
      <w:r>
        <w:t>tory</w:t>
      </w:r>
      <w:r w:rsidRPr="00653FE9">
        <w:t xml:space="preserve"> families</w:t>
      </w:r>
      <w:r>
        <w:t xml:space="preserve">. </w:t>
      </w:r>
      <w:r w:rsidRPr="00653FE9">
        <w:t>At the same time, the recruiter may refer families to these agencies, where appropriate</w:t>
      </w:r>
      <w:r>
        <w:t xml:space="preserve">. </w:t>
      </w:r>
      <w:r w:rsidRPr="00653FE9">
        <w:t>This two-way cooperation benefits all involved</w:t>
      </w:r>
      <w:r>
        <w:t xml:space="preserve">. </w:t>
      </w:r>
      <w:r w:rsidRPr="00653FE9">
        <w:t>Sometimes agencies will want the recruiter to refer clients to them but will not reciprocate</w:t>
      </w:r>
      <w:r>
        <w:t xml:space="preserve">. </w:t>
      </w:r>
      <w:r w:rsidRPr="00653FE9">
        <w:t>If this is the case, the recruiter should advise his or her direct supervisor</w:t>
      </w:r>
      <w:r w:rsidRPr="00653FE9">
        <w:fldChar w:fldCharType="begin"/>
      </w:r>
      <w:r w:rsidRPr="00653FE9">
        <w:instrText xml:space="preserve"> XE "Supervisor" </w:instrText>
      </w:r>
      <w:r w:rsidRPr="00653FE9">
        <w:fldChar w:fldCharType="end"/>
      </w:r>
      <w:r>
        <w:t xml:space="preserve">. </w:t>
      </w:r>
      <w:r w:rsidRPr="00653FE9">
        <w:t>A meeting</w:t>
      </w:r>
      <w:r w:rsidRPr="00653FE9">
        <w:fldChar w:fldCharType="begin"/>
      </w:r>
      <w:r w:rsidRPr="00653FE9">
        <w:instrText xml:space="preserve"> XE “Meeting" </w:instrText>
      </w:r>
      <w:r w:rsidRPr="00653FE9">
        <w:fldChar w:fldCharType="end"/>
      </w:r>
      <w:r w:rsidRPr="00653FE9">
        <w:fldChar w:fldCharType="begin"/>
      </w:r>
      <w:r w:rsidRPr="00653FE9">
        <w:instrText xml:space="preserve"> XE "meetings" </w:instrText>
      </w:r>
      <w:r w:rsidRPr="00653FE9">
        <w:fldChar w:fldCharType="end"/>
      </w:r>
      <w:r w:rsidRPr="00653FE9">
        <w:t xml:space="preserve"> on the supervisory level between the agency and the MEP may resolve the problem.</w:t>
      </w:r>
    </w:p>
    <w:p w14:paraId="22E0C7E6" w14:textId="77777777" w:rsidR="00286DC1" w:rsidRPr="00653FE9" w:rsidRDefault="00286DC1" w:rsidP="005514ED">
      <w:pPr>
        <w:pStyle w:val="IDRText"/>
      </w:pPr>
      <w:r w:rsidRPr="00653FE9">
        <w:t>The recruiter should ask if the state</w:t>
      </w:r>
      <w:r w:rsidRPr="00653FE9">
        <w:fldChar w:fldCharType="begin"/>
      </w:r>
      <w:r w:rsidRPr="00653FE9">
        <w:instrText xml:space="preserve"> XE "State" </w:instrText>
      </w:r>
      <w:r w:rsidRPr="00653FE9">
        <w:fldChar w:fldCharType="end"/>
      </w:r>
      <w:r w:rsidRPr="00653FE9">
        <w:t xml:space="preserve"> or local</w:t>
      </w:r>
      <w:r w:rsidRPr="00653FE9">
        <w:fldChar w:fldCharType="begin"/>
      </w:r>
      <w:r w:rsidRPr="00653FE9">
        <w:instrText xml:space="preserve"> XE "Local" </w:instrText>
      </w:r>
      <w:r w:rsidRPr="00653FE9">
        <w:fldChar w:fldCharType="end"/>
      </w:r>
      <w:r w:rsidRPr="00653FE9">
        <w:t xml:space="preserve"> project has conducted any surveys</w:t>
      </w:r>
      <w:r w:rsidRPr="00653FE9">
        <w:fldChar w:fldCharType="begin"/>
      </w:r>
      <w:r w:rsidRPr="00653FE9">
        <w:instrText xml:space="preserve"> XE "Surveys" </w:instrText>
      </w:r>
      <w:r w:rsidRPr="00653FE9">
        <w:fldChar w:fldCharType="end"/>
      </w:r>
      <w:r>
        <w:t xml:space="preserve">. </w:t>
      </w:r>
      <w:r w:rsidRPr="00653FE9">
        <w:t>If so, the recruiter should find out what forms were used and when the surveys were last updated</w:t>
      </w:r>
      <w:r>
        <w:t xml:space="preserve">. </w:t>
      </w:r>
      <w:r w:rsidRPr="00653FE9">
        <w:t>If the state has not been conducting surveys, the recruiter should initiate the process</w:t>
      </w:r>
      <w:r>
        <w:t xml:space="preserve">. </w:t>
      </w:r>
      <w:r w:rsidRPr="00653FE9">
        <w:t>As mentioned previously, over time, the collection of surveys will serve as a detailed directory for the recruiters key recruitment networks</w:t>
      </w:r>
      <w:r>
        <w:t>.</w:t>
      </w:r>
      <w:r w:rsidRPr="00653FE9">
        <w:t xml:space="preserve"> </w:t>
      </w:r>
    </w:p>
    <w:p w14:paraId="24617835" w14:textId="77777777" w:rsidR="00286DC1" w:rsidRPr="00653FE9" w:rsidRDefault="00286DC1" w:rsidP="005514ED">
      <w:pPr>
        <w:pStyle w:val="IDRText"/>
      </w:pPr>
      <w:r w:rsidRPr="00653FE9">
        <w:t>The recruiter should be aware that survey</w:t>
      </w:r>
      <w:r w:rsidRPr="00653FE9">
        <w:fldChar w:fldCharType="begin"/>
      </w:r>
      <w:r w:rsidRPr="00653FE9">
        <w:instrText xml:space="preserve"> XE "Surveys" </w:instrText>
      </w:r>
      <w:r w:rsidRPr="00653FE9">
        <w:fldChar w:fldCharType="end"/>
      </w:r>
      <w:r w:rsidRPr="00653FE9">
        <w:t xml:space="preserve"> forms alone are not sufficient to record or document a child</w:t>
      </w:r>
      <w:r w:rsidRPr="00653FE9">
        <w:fldChar w:fldCharType="begin"/>
      </w:r>
      <w:r w:rsidRPr="00653FE9">
        <w:instrText xml:space="preserve"> XE "Child" </w:instrText>
      </w:r>
      <w:r w:rsidRPr="00653FE9">
        <w:fldChar w:fldCharType="end"/>
      </w:r>
      <w:r w:rsidRPr="00653FE9">
        <w:t xml:space="preserve"> or youth</w:t>
      </w:r>
      <w:r w:rsidRPr="00653FE9">
        <w:fldChar w:fldCharType="begin"/>
      </w:r>
      <w:r w:rsidRPr="00653FE9">
        <w:instrText xml:space="preserve"> XE "Out-of-school youth" </w:instrText>
      </w:r>
      <w:r w:rsidRPr="00653FE9">
        <w:fldChar w:fldCharType="end"/>
      </w:r>
      <w:r w:rsidRPr="00653FE9">
        <w:t>’s eligibility</w:t>
      </w:r>
      <w:r w:rsidRPr="00653FE9">
        <w:fldChar w:fldCharType="begin"/>
      </w:r>
      <w:r w:rsidRPr="00653FE9">
        <w:instrText xml:space="preserve"> XE "Eligibility" </w:instrText>
      </w:r>
      <w:r w:rsidRPr="00653FE9">
        <w:fldChar w:fldCharType="end"/>
      </w:r>
      <w:r w:rsidRPr="00653FE9">
        <w:t xml:space="preserve"> for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However, information obtained through surveys provides a good starting point for recruitment efforts by identifying those families who are the most likely to have children who qualify</w:t>
      </w:r>
      <w:r w:rsidRPr="00653FE9">
        <w:fldChar w:fldCharType="begin"/>
      </w:r>
      <w:r w:rsidRPr="00653FE9">
        <w:instrText xml:space="preserve"> XE "Qualify" </w:instrText>
      </w:r>
      <w:r w:rsidRPr="00653FE9">
        <w:fldChar w:fldCharType="end"/>
      </w:r>
      <w:r w:rsidRPr="00653FE9">
        <w:t xml:space="preserve"> for the MEP, the employers who are the most likely to hire migra</w:t>
      </w:r>
      <w:r>
        <w:t>tory</w:t>
      </w:r>
      <w:r w:rsidRPr="00653FE9">
        <w:t xml:space="preserve"> </w:t>
      </w:r>
      <w:r w:rsidRPr="00653FE9">
        <w:lastRenderedPageBreak/>
        <w:t>laborers, etc</w:t>
      </w:r>
      <w:r>
        <w:t xml:space="preserve">. </w:t>
      </w:r>
      <w:r w:rsidRPr="00653FE9">
        <w:t>All states are required to use a COE</w:t>
      </w:r>
      <w:r w:rsidRPr="00653FE9">
        <w:fldChar w:fldCharType="begin"/>
      </w:r>
      <w:r w:rsidRPr="00653FE9">
        <w:instrText xml:space="preserve"> XE "Certificate of Eligibility" </w:instrText>
      </w:r>
      <w:r w:rsidRPr="00653FE9">
        <w:fldChar w:fldCharType="end"/>
      </w:r>
      <w:r w:rsidRPr="00653FE9">
        <w:t xml:space="preserve"> form to document a child</w:t>
      </w:r>
      <w:r w:rsidRPr="00653FE9">
        <w:fldChar w:fldCharType="begin"/>
      </w:r>
      <w:r w:rsidRPr="00653FE9">
        <w:instrText xml:space="preserve"> XE "Youth" </w:instrText>
      </w:r>
      <w:r w:rsidRPr="00653FE9">
        <w:fldChar w:fldCharType="end"/>
      </w:r>
      <w:r w:rsidRPr="00653FE9">
        <w:t>’s eligibility for the MEP  (</w:t>
      </w:r>
      <w:r>
        <w:t>s</w:t>
      </w:r>
      <w:r w:rsidRPr="00653FE9">
        <w:t xml:space="preserve">ee </w:t>
      </w:r>
      <w:r w:rsidRPr="007738CE">
        <w:t>Chapter 8</w:t>
      </w:r>
      <w:r w:rsidRPr="00653FE9">
        <w:t xml:space="preserve"> for detailed information on completing the COE).</w:t>
      </w:r>
    </w:p>
    <w:p w14:paraId="4A4D3ED4" w14:textId="77777777" w:rsidR="00F8385D" w:rsidRDefault="00286DC1" w:rsidP="00F8385D">
      <w:pPr>
        <w:pStyle w:val="IDRCallout"/>
      </w:pPr>
      <w:r w:rsidRPr="00483580">
        <w:t>I work closely with the Chamber of Commerce and give out materials from the local</w:t>
      </w:r>
      <w:r w:rsidRPr="00483580">
        <w:fldChar w:fldCharType="begin"/>
      </w:r>
      <w:r w:rsidRPr="00483580">
        <w:instrText xml:space="preserve"> XE "Local" </w:instrText>
      </w:r>
      <w:r w:rsidRPr="00483580">
        <w:fldChar w:fldCharType="end"/>
      </w:r>
      <w:r w:rsidRPr="00483580">
        <w:t xml:space="preserve"> town such as lists of business and community</w:t>
      </w:r>
      <w:r w:rsidRPr="00483580">
        <w:fldChar w:fldCharType="begin"/>
      </w:r>
      <w:r w:rsidRPr="00483580">
        <w:instrText xml:space="preserve"> XE "Community" </w:instrText>
      </w:r>
      <w:r w:rsidRPr="00483580">
        <w:fldChar w:fldCharType="end"/>
      </w:r>
      <w:r w:rsidRPr="00483580">
        <w:t xml:space="preserve"> resources, maps, and emergency contact phone numbers. </w:t>
      </w:r>
    </w:p>
    <w:p w14:paraId="10701FFD" w14:textId="77777777" w:rsidR="00286DC1" w:rsidRPr="00653FE9" w:rsidRDefault="00286DC1" w:rsidP="00F8385D">
      <w:pPr>
        <w:pStyle w:val="IDRText"/>
      </w:pPr>
      <w:r w:rsidRPr="00741611">
        <w:rPr>
          <w:rStyle w:val="IDRSub-section"/>
        </w:rPr>
        <w:t>Promotion</w:t>
      </w:r>
      <w:r w:rsidRPr="00741611">
        <w:rPr>
          <w:rStyle w:val="IDRSub-section"/>
        </w:rPr>
        <w:fldChar w:fldCharType="begin"/>
      </w:r>
      <w:r w:rsidRPr="00741611">
        <w:rPr>
          <w:rStyle w:val="IDRSub-section"/>
        </w:rPr>
        <w:instrText xml:space="preserve"> XE "Promotion" </w:instrText>
      </w:r>
      <w:r w:rsidRPr="00741611">
        <w:rPr>
          <w:rStyle w:val="IDRSub-section"/>
        </w:rPr>
        <w:fldChar w:fldCharType="end"/>
      </w:r>
      <w:r w:rsidRPr="00741611">
        <w:rPr>
          <w:rStyle w:val="IDRSub-section"/>
        </w:rPr>
        <w:t>.</w:t>
      </w:r>
      <w:r w:rsidRPr="00741611">
        <w:t xml:space="preserve"> </w:t>
      </w:r>
      <w:r w:rsidRPr="00653FE9">
        <w:t>In addition to using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for referrals</w:t>
      </w:r>
      <w:r w:rsidRPr="00653FE9">
        <w:fldChar w:fldCharType="begin"/>
      </w:r>
      <w:r w:rsidRPr="00653FE9">
        <w:instrText xml:space="preserve"> XE "Referrals" </w:instrText>
      </w:r>
      <w:r w:rsidRPr="00653FE9">
        <w:fldChar w:fldCharType="end"/>
      </w:r>
      <w:r w:rsidRPr="00653FE9">
        <w:t xml:space="preserve"> or surveys</w:t>
      </w:r>
      <w:r w:rsidRPr="00653FE9">
        <w:fldChar w:fldCharType="begin"/>
      </w:r>
      <w:r w:rsidRPr="00653FE9">
        <w:instrText xml:space="preserve"> XE "Surveys" </w:instrText>
      </w:r>
      <w:r w:rsidRPr="00653FE9">
        <w:fldChar w:fldCharType="end"/>
      </w:r>
      <w:r w:rsidRPr="00653FE9">
        <w:t>, the recruiter can also use the network</w:t>
      </w:r>
      <w:r w:rsidRPr="00653FE9">
        <w:fldChar w:fldCharType="begin"/>
      </w:r>
      <w:r w:rsidRPr="00653FE9">
        <w:instrText xml:space="preserve"> XE “Network" </w:instrText>
      </w:r>
      <w:r w:rsidRPr="00653FE9">
        <w:fldChar w:fldCharType="end"/>
      </w:r>
      <w:r w:rsidRPr="00653FE9">
        <w:t xml:space="preserve"> to promote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To use this strategy, the recruiter provides promotional materials to employers, school</w:t>
      </w:r>
      <w:r w:rsidRPr="00653FE9">
        <w:fldChar w:fldCharType="begin"/>
      </w:r>
      <w:r w:rsidRPr="00653FE9">
        <w:instrText xml:space="preserve"> XE "School" </w:instrText>
      </w:r>
      <w:r w:rsidRPr="00653FE9">
        <w:fldChar w:fldCharType="end"/>
      </w:r>
      <w:r w:rsidRPr="00653FE9">
        <w:t>s, community</w:t>
      </w:r>
      <w:r w:rsidRPr="00653FE9">
        <w:fldChar w:fldCharType="begin"/>
      </w:r>
      <w:r w:rsidRPr="00653FE9">
        <w:instrText xml:space="preserve"> XE "Community" </w:instrText>
      </w:r>
      <w:r w:rsidRPr="00653FE9">
        <w:fldChar w:fldCharType="end"/>
      </w:r>
      <w:r w:rsidRPr="00653FE9">
        <w:t xml:space="preserve"> organizations, and previously recruited migra</w:t>
      </w:r>
      <w:r>
        <w:t>tory</w:t>
      </w:r>
      <w:r w:rsidRPr="00653FE9">
        <w:t xml:space="preserve"> families to share with other families that might be eligible</w:t>
      </w:r>
      <w:r w:rsidRPr="00653FE9">
        <w:fldChar w:fldCharType="begin"/>
      </w:r>
      <w:r w:rsidRPr="00653FE9">
        <w:instrText xml:space="preserve"> XE "Eligibility" </w:instrText>
      </w:r>
      <w:r w:rsidRPr="00653FE9">
        <w:fldChar w:fldCharType="end"/>
      </w:r>
      <w:r w:rsidRPr="00653FE9">
        <w:t xml:space="preserve"> for the MEP</w:t>
      </w:r>
      <w:r>
        <w:t xml:space="preserve">. </w:t>
      </w:r>
      <w:r w:rsidRPr="00653FE9">
        <w:t>In this way, migra</w:t>
      </w:r>
      <w:r>
        <w:t>tory</w:t>
      </w:r>
      <w:r w:rsidRPr="00653FE9">
        <w:t xml:space="preserve"> families learn about the MEP and can contact a recruiter to see if they are eligible for services.</w:t>
      </w:r>
    </w:p>
    <w:p w14:paraId="3887DFA3" w14:textId="77777777" w:rsidR="00286DC1" w:rsidRPr="00653FE9" w:rsidRDefault="00286DC1" w:rsidP="00741611">
      <w:pPr>
        <w:pStyle w:val="IDRText"/>
      </w:pPr>
      <w:r w:rsidRPr="00653FE9">
        <w:t>Promotion</w:t>
      </w:r>
      <w:r w:rsidRPr="00653FE9">
        <w:fldChar w:fldCharType="begin"/>
      </w:r>
      <w:r w:rsidRPr="00653FE9">
        <w:instrText xml:space="preserve"> XE "Promotion" </w:instrText>
      </w:r>
      <w:r w:rsidRPr="00653FE9">
        <w:fldChar w:fldCharType="end"/>
      </w:r>
      <w:r w:rsidRPr="00653FE9">
        <w:t xml:space="preserve"> through a network</w:t>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can happen in a variety of ways</w:t>
      </w:r>
      <w:r>
        <w:t xml:space="preserve">. </w:t>
      </w:r>
      <w:r w:rsidRPr="00653FE9">
        <w:t xml:space="preserve">The National Institute of Cancer’s </w:t>
      </w:r>
      <w:r w:rsidRPr="009641C0">
        <w:rPr>
          <w:rStyle w:val="Emphasis"/>
        </w:rPr>
        <w:t>Pink Book</w:t>
      </w:r>
      <w:r w:rsidRPr="00653FE9">
        <w:t xml:space="preserve"> identifies several ways to promote a program, including interpersonal, organizational, or mass media promotions</w:t>
      </w:r>
      <w:r>
        <w:t>. These strategies have been adapted to the MEP</w:t>
      </w:r>
      <w:r w:rsidRPr="00653FE9">
        <w:t xml:space="preserve">, as described below: </w:t>
      </w:r>
    </w:p>
    <w:p w14:paraId="4F9B48EE" w14:textId="77777777" w:rsidR="00286DC1" w:rsidRPr="00653FE9" w:rsidRDefault="00286DC1" w:rsidP="005514ED">
      <w:pPr>
        <w:pStyle w:val="IDRText"/>
      </w:pPr>
      <w:r w:rsidRPr="00741611">
        <w:rPr>
          <w:rStyle w:val="IDRSub-section"/>
        </w:rPr>
        <w:t>Interpersonal Promotion</w:t>
      </w:r>
      <w:r w:rsidRPr="00741611">
        <w:rPr>
          <w:rStyle w:val="IDRSub-section"/>
        </w:rPr>
        <w:fldChar w:fldCharType="begin"/>
      </w:r>
      <w:r w:rsidRPr="00741611">
        <w:rPr>
          <w:rStyle w:val="IDRSub-section"/>
        </w:rPr>
        <w:instrText xml:space="preserve"> XE "Promotion" </w:instrText>
      </w:r>
      <w:r w:rsidRPr="00741611">
        <w:rPr>
          <w:rStyle w:val="IDRSub-section"/>
        </w:rPr>
        <w:fldChar w:fldCharType="end"/>
      </w:r>
      <w:r w:rsidRPr="00741611">
        <w:rPr>
          <w:rStyle w:val="IDRSub-section"/>
        </w:rPr>
        <w:t>.</w:t>
      </w:r>
      <w:r w:rsidRPr="00741611">
        <w:t xml:space="preserve"> </w:t>
      </w:r>
      <w:r w:rsidRPr="00653FE9">
        <w:t>Every time a contact in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meets with a family, interviews a family,</w:t>
      </w:r>
      <w:r w:rsidRPr="00653FE9">
        <w:fldChar w:fldCharType="begin"/>
      </w:r>
      <w:r w:rsidRPr="00653FE9">
        <w:instrText xml:space="preserve"> XE "Family" </w:instrText>
      </w:r>
      <w:r w:rsidRPr="00653FE9">
        <w:fldChar w:fldCharType="end"/>
      </w:r>
      <w:r w:rsidRPr="00653FE9">
        <w:t xml:space="preserve"> or makes a home visit</w:t>
      </w:r>
      <w:r w:rsidRPr="00653FE9">
        <w:fldChar w:fldCharType="begin"/>
      </w:r>
      <w:r w:rsidRPr="00653FE9">
        <w:instrText xml:space="preserve"> XE "Visit" </w:instrText>
      </w:r>
      <w:r w:rsidRPr="00653FE9">
        <w:fldChar w:fldCharType="end"/>
      </w:r>
      <w:r w:rsidRPr="00653FE9">
        <w:t>, there is an opportunity for that contact to share information about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services and to disseminate information about the MEP</w:t>
      </w:r>
      <w:r>
        <w:t xml:space="preserve">. </w:t>
      </w:r>
      <w:r w:rsidRPr="00653FE9">
        <w:t>Other examples of interpersonal promotion include using a hotline that migra</w:t>
      </w:r>
      <w:r>
        <w:t>tory</w:t>
      </w:r>
      <w:r w:rsidRPr="00653FE9">
        <w:t xml:space="preserve"> families can call when looking for MEP services, or having informal discussions about the MEP at migra</w:t>
      </w:r>
      <w:r>
        <w:t>tory</w:t>
      </w:r>
      <w:r w:rsidR="00251E14">
        <w:t xml:space="preserve"> “hotspots.” </w:t>
      </w:r>
      <w:r w:rsidRPr="00653FE9">
        <w:t>Materials and equipment that can support</w:t>
      </w:r>
      <w:r w:rsidRPr="00653FE9">
        <w:fldChar w:fldCharType="begin"/>
      </w:r>
      <w:r w:rsidRPr="00653FE9">
        <w:instrText xml:space="preserve"> XE “Support" </w:instrText>
      </w:r>
      <w:r w:rsidRPr="00653FE9">
        <w:fldChar w:fldCharType="end"/>
      </w:r>
      <w:r w:rsidRPr="00653FE9">
        <w:fldChar w:fldCharType="begin"/>
      </w:r>
      <w:r w:rsidRPr="00653FE9">
        <w:instrText xml:space="preserve"> XE "support" </w:instrText>
      </w:r>
      <w:r w:rsidRPr="00653FE9">
        <w:fldChar w:fldCharType="end"/>
      </w:r>
      <w:r w:rsidRPr="00653FE9">
        <w:t xml:space="preserve"> interpersonal promotion include business cards and toll-free numbers</w:t>
      </w:r>
      <w:r>
        <w:t xml:space="preserve">. </w:t>
      </w:r>
      <w:r w:rsidRPr="00653FE9">
        <w:t>Even providing a small informational item like a school</w:t>
      </w:r>
      <w:r w:rsidRPr="00653FE9">
        <w:fldChar w:fldCharType="begin"/>
      </w:r>
      <w:r w:rsidRPr="00653FE9">
        <w:instrText xml:space="preserve"> XE "School" </w:instrText>
      </w:r>
      <w:r w:rsidRPr="00653FE9">
        <w:fldChar w:fldCharType="end"/>
      </w:r>
      <w:r w:rsidRPr="00653FE9">
        <w:t xml:space="preserve"> calendar may remind the migra</w:t>
      </w:r>
      <w:r>
        <w:t>tory</w:t>
      </w:r>
      <w:r w:rsidRPr="00653FE9">
        <w:t xml:space="preserve"> family that the recruiter and the MEP are available to help the child</w:t>
      </w:r>
      <w:r w:rsidRPr="00653FE9">
        <w:fldChar w:fldCharType="begin"/>
      </w:r>
      <w:r w:rsidRPr="00653FE9">
        <w:instrText xml:space="preserve"> XE "Child" </w:instrText>
      </w:r>
      <w:r w:rsidRPr="00653FE9">
        <w:fldChar w:fldCharType="end"/>
      </w:r>
      <w:r w:rsidRPr="00653FE9">
        <w:t xml:space="preserve"> participate effectively in school. </w:t>
      </w:r>
    </w:p>
    <w:p w14:paraId="1349AEB3" w14:textId="77777777" w:rsidR="00286DC1" w:rsidRPr="00653FE9" w:rsidRDefault="00286DC1" w:rsidP="005514ED">
      <w:pPr>
        <w:pStyle w:val="IDRText"/>
      </w:pPr>
      <w:r w:rsidRPr="00741611">
        <w:rPr>
          <w:rStyle w:val="IDRSub-section"/>
        </w:rPr>
        <w:t>Organizational Promotion</w:t>
      </w:r>
      <w:r w:rsidRPr="00741611">
        <w:rPr>
          <w:rStyle w:val="IDRSub-section"/>
        </w:rPr>
        <w:fldChar w:fldCharType="begin"/>
      </w:r>
      <w:r w:rsidRPr="00741611">
        <w:rPr>
          <w:rStyle w:val="IDRSub-section"/>
        </w:rPr>
        <w:instrText xml:space="preserve"> XE "Promotion" </w:instrText>
      </w:r>
      <w:r w:rsidRPr="00741611">
        <w:rPr>
          <w:rStyle w:val="IDRSub-section"/>
        </w:rPr>
        <w:fldChar w:fldCharType="end"/>
      </w:r>
      <w:r w:rsidRPr="00741611">
        <w:rPr>
          <w:rStyle w:val="IDRSub-section"/>
        </w:rPr>
        <w:t>.</w:t>
      </w:r>
      <w:r w:rsidRPr="00741611">
        <w:t xml:space="preserve"> </w:t>
      </w:r>
      <w:r w:rsidRPr="00653FE9">
        <w:t>A common organizational promotion is to present at a community</w:t>
      </w:r>
      <w:r w:rsidRPr="00653FE9">
        <w:fldChar w:fldCharType="begin"/>
      </w:r>
      <w:r w:rsidRPr="00653FE9">
        <w:instrText xml:space="preserve"> XE "Community" </w:instrText>
      </w:r>
      <w:r w:rsidRPr="00653FE9">
        <w:fldChar w:fldCharType="end"/>
      </w:r>
      <w:r w:rsidRPr="00653FE9">
        <w:t xml:space="preserve"> agency meeting</w:t>
      </w:r>
      <w:r w:rsidRPr="00653FE9">
        <w:fldChar w:fldCharType="begin"/>
      </w:r>
      <w:r w:rsidRPr="00653FE9">
        <w:instrText xml:space="preserve"> XE “Meeting" </w:instrText>
      </w:r>
      <w:r w:rsidRPr="00653FE9">
        <w:fldChar w:fldCharType="end"/>
      </w:r>
      <w:r w:rsidRPr="00653FE9">
        <w:fldChar w:fldCharType="begin"/>
      </w:r>
      <w:r w:rsidRPr="00653FE9">
        <w:instrText xml:space="preserve"> XE "meetings" </w:instrText>
      </w:r>
      <w:r w:rsidRPr="00653FE9">
        <w:fldChar w:fldCharType="end"/>
      </w:r>
      <w:r w:rsidRPr="00653FE9">
        <w:t xml:space="preserve"> or workplace to educate potential members of the recruitment network</w:t>
      </w:r>
      <w:r w:rsidRPr="00653FE9">
        <w:fldChar w:fldCharType="begin"/>
      </w:r>
      <w:r w:rsidRPr="00653FE9">
        <w:instrText xml:space="preserve"> XE "Recruitment network" </w:instrText>
      </w:r>
      <w:r w:rsidRPr="00653FE9">
        <w:fldChar w:fldCharType="end"/>
      </w:r>
      <w:r w:rsidRPr="00653FE9">
        <w:fldChar w:fldCharType="begin"/>
      </w:r>
      <w:r w:rsidRPr="00653FE9">
        <w:instrText xml:space="preserve"> XE "network" </w:instrText>
      </w:r>
      <w:r w:rsidRPr="00653FE9">
        <w:fldChar w:fldCharType="end"/>
      </w:r>
      <w:r w:rsidRPr="00653FE9">
        <w:fldChar w:fldCharType="begin"/>
      </w:r>
      <w:r w:rsidRPr="00653FE9">
        <w:instrText xml:space="preserve"> XE "Network" </w:instrText>
      </w:r>
      <w:r w:rsidRPr="00653FE9">
        <w:fldChar w:fldCharType="end"/>
      </w:r>
      <w:r w:rsidRPr="00653FE9">
        <w:t xml:space="preserve"> about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t xml:space="preserve">. </w:t>
      </w:r>
      <w:r w:rsidRPr="00653FE9">
        <w:t>This could occur during a regularly scheduled meeting or at a special community fair</w:t>
      </w:r>
      <w:r>
        <w:t xml:space="preserve">. </w:t>
      </w:r>
      <w:r w:rsidRPr="00653FE9">
        <w:t>A particularly effective form of organizational promotion is providing awareness training</w:t>
      </w:r>
      <w:r w:rsidRPr="00653FE9">
        <w:fldChar w:fldCharType="begin"/>
      </w:r>
      <w:r w:rsidRPr="00653FE9">
        <w:instrText xml:space="preserve"> XE "Training" </w:instrText>
      </w:r>
      <w:r w:rsidRPr="00653FE9">
        <w:fldChar w:fldCharType="end"/>
      </w:r>
      <w:r w:rsidRPr="00653FE9">
        <w:t xml:space="preserve"> about the MEP for key contacts (</w:t>
      </w:r>
      <w:r>
        <w:t>e.g.,</w:t>
      </w:r>
      <w:r w:rsidRPr="00653FE9">
        <w:t xml:space="preserve"> bus drivers, registrars, attendance clerks, school</w:t>
      </w:r>
      <w:r w:rsidRPr="00653FE9">
        <w:fldChar w:fldCharType="begin"/>
      </w:r>
      <w:r w:rsidRPr="00653FE9">
        <w:instrText xml:space="preserve"> XE "School" </w:instrText>
      </w:r>
      <w:r w:rsidRPr="00653FE9">
        <w:fldChar w:fldCharType="end"/>
      </w:r>
      <w:r w:rsidRPr="00653FE9">
        <w:t xml:space="preserve"> nurses, counselors, and teachers)</w:t>
      </w:r>
      <w:r>
        <w:t xml:space="preserve">. </w:t>
      </w:r>
      <w:r w:rsidRPr="00653FE9">
        <w:t>Other common organizational promotions are MEP newsletters, articles in newsletters of other organizations that serve migra</w:t>
      </w:r>
      <w:r>
        <w:t>tory</w:t>
      </w:r>
      <w:r w:rsidRPr="00653FE9">
        <w:t xml:space="preserve"> families, posters, brochures, and display tables</w:t>
      </w:r>
      <w:r>
        <w:t xml:space="preserve">. </w:t>
      </w:r>
    </w:p>
    <w:p w14:paraId="0CBFD382" w14:textId="77777777" w:rsidR="00741611" w:rsidRPr="00741611" w:rsidRDefault="00286DC1" w:rsidP="005514ED">
      <w:pPr>
        <w:pStyle w:val="IDRText"/>
      </w:pPr>
      <w:r w:rsidRPr="00741611">
        <w:rPr>
          <w:rStyle w:val="IDRSub-section"/>
        </w:rPr>
        <w:t>Mass Media Promotion</w:t>
      </w:r>
      <w:r w:rsidRPr="00741611">
        <w:rPr>
          <w:rStyle w:val="IDRSub-section"/>
        </w:rPr>
        <w:fldChar w:fldCharType="begin"/>
      </w:r>
      <w:r w:rsidRPr="00741611">
        <w:rPr>
          <w:rStyle w:val="IDRSub-section"/>
        </w:rPr>
        <w:instrText xml:space="preserve"> XE "Promotion" </w:instrText>
      </w:r>
      <w:r w:rsidRPr="00741611">
        <w:rPr>
          <w:rStyle w:val="IDRSub-section"/>
        </w:rPr>
        <w:fldChar w:fldCharType="end"/>
      </w:r>
      <w:r w:rsidRPr="00741611">
        <w:rPr>
          <w:rStyle w:val="IDRSub-section"/>
        </w:rPr>
        <w:t>.</w:t>
      </w:r>
      <w:r w:rsidRPr="00741611">
        <w:t xml:space="preserve"> </w:t>
      </w:r>
      <w:r w:rsidRPr="00653FE9">
        <w:t>Mass media offers one of the best means of promoting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to a broad group of people</w:t>
      </w:r>
      <w:r>
        <w:t xml:space="preserve">. </w:t>
      </w:r>
      <w:r w:rsidRPr="00653FE9">
        <w:t>Radio, television, and newspapers may reach remote areas that the recruiter cannot easily or efficiently explore</w:t>
      </w:r>
      <w:r>
        <w:t xml:space="preserve">. </w:t>
      </w:r>
      <w:r w:rsidRPr="00653FE9">
        <w:t>Local</w:t>
      </w:r>
      <w:r w:rsidRPr="00653FE9">
        <w:fldChar w:fldCharType="begin"/>
      </w:r>
      <w:r w:rsidRPr="00653FE9">
        <w:instrText xml:space="preserve"> XE "Local" </w:instrText>
      </w:r>
      <w:r w:rsidRPr="00653FE9">
        <w:fldChar w:fldCharType="end"/>
      </w:r>
      <w:r w:rsidRPr="00653FE9">
        <w:t xml:space="preserve"> radio stations and newspapers may be willing to broadcast community</w:t>
      </w:r>
      <w:r w:rsidRPr="00653FE9">
        <w:fldChar w:fldCharType="begin"/>
      </w:r>
      <w:r w:rsidRPr="00653FE9">
        <w:instrText xml:space="preserve"> XE "Community" </w:instrText>
      </w:r>
      <w:r w:rsidRPr="00653FE9">
        <w:fldChar w:fldCharType="end"/>
      </w:r>
      <w:r w:rsidRPr="00653FE9">
        <w:t xml:space="preserve"> service announcements that welcome migra</w:t>
      </w:r>
      <w:r>
        <w:t>tory</w:t>
      </w:r>
      <w:r w:rsidRPr="00653FE9">
        <w:t xml:space="preserve"> families to the area</w:t>
      </w:r>
      <w:r>
        <w:t xml:space="preserve">. </w:t>
      </w:r>
      <w:r w:rsidRPr="00653FE9">
        <w:t>These announcements should reflect the language and culture</w:t>
      </w:r>
      <w:r w:rsidRPr="00653FE9">
        <w:fldChar w:fldCharType="begin"/>
      </w:r>
      <w:r w:rsidRPr="00653FE9">
        <w:instrText xml:space="preserve"> XE "Culture" </w:instrText>
      </w:r>
      <w:r w:rsidRPr="00653FE9">
        <w:fldChar w:fldCharType="end"/>
      </w:r>
      <w:r w:rsidRPr="00653FE9">
        <w:t xml:space="preserve"> of the local migra</w:t>
      </w:r>
      <w:r>
        <w:t>tory</w:t>
      </w:r>
      <w:r w:rsidRPr="00653FE9">
        <w:t xml:space="preserve"> population (</w:t>
      </w:r>
      <w:r>
        <w:t>e.g.,</w:t>
      </w:r>
      <w:r w:rsidRPr="00653FE9">
        <w:t xml:space="preserve"> Spanish-language radio stations in areas where migra</w:t>
      </w:r>
      <w:r>
        <w:t>tory</w:t>
      </w:r>
      <w:r w:rsidRPr="00653FE9">
        <w:t xml:space="preserve"> families are predominantly Latino)</w:t>
      </w:r>
      <w:r>
        <w:t xml:space="preserve">. </w:t>
      </w:r>
      <w:r w:rsidRPr="00653FE9">
        <w:t>Newspaper stories, letters to the editor, and visits from local politicians are all ways to maintain community awareness of the MEP and are examples of strategies that help the recruiter “get the word out.” Posters left in strategic places such as churches</w:t>
      </w:r>
      <w:r>
        <w:t xml:space="preserve">, supermarkets, </w:t>
      </w:r>
      <w:r>
        <w:rPr>
          <w:lang w:val="en-US"/>
        </w:rPr>
        <w:t>l</w:t>
      </w:r>
      <w:r w:rsidRPr="00653FE9">
        <w:t xml:space="preserve">aundromats, </w:t>
      </w:r>
      <w:r w:rsidRPr="00741611">
        <w:t xml:space="preserve">convenience stores, auto repair shops, health clinics, and other locations that migratory families frequent can educate migratory families who may have eligible children or migratory youth about MEP services. </w:t>
      </w:r>
    </w:p>
    <w:p w14:paraId="3621EAD5" w14:textId="77777777" w:rsidR="00286DC1" w:rsidRPr="00741611" w:rsidRDefault="00286DC1" w:rsidP="00741611">
      <w:pPr>
        <w:pStyle w:val="IDRText"/>
      </w:pPr>
      <w:r w:rsidRPr="00653FE9">
        <w:lastRenderedPageBreak/>
        <w:t>The recruiter should be aware of community</w:t>
      </w:r>
      <w:r w:rsidRPr="00653FE9">
        <w:fldChar w:fldCharType="begin"/>
      </w:r>
      <w:r w:rsidRPr="00653FE9">
        <w:instrText xml:space="preserve"> XE "Community" </w:instrText>
      </w:r>
      <w:r w:rsidRPr="00653FE9">
        <w:fldChar w:fldCharType="end"/>
      </w:r>
      <w:r w:rsidRPr="00653FE9">
        <w:t xml:space="preserve"> sentiment regarding migra</w:t>
      </w:r>
      <w:r>
        <w:t>tory</w:t>
      </w:r>
      <w:r w:rsidRPr="00653FE9">
        <w:t xml:space="preserve"> and farmworker issues; some communities may react to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xml:space="preserve"> mass media promotions in a negative way</w:t>
      </w:r>
      <w:r>
        <w:t xml:space="preserve">. </w:t>
      </w:r>
      <w:r w:rsidRPr="00653FE9">
        <w:t xml:space="preserve">If the recruiter is unsure how the local community will </w:t>
      </w:r>
      <w:r w:rsidRPr="00741611">
        <w:t>accept mass media promotions</w:t>
      </w:r>
      <w:r w:rsidRPr="00741611">
        <w:fldChar w:fldCharType="begin"/>
      </w:r>
      <w:r w:rsidRPr="00741611">
        <w:instrText xml:space="preserve"> XE "Local" </w:instrText>
      </w:r>
      <w:r w:rsidRPr="00741611">
        <w:fldChar w:fldCharType="end"/>
      </w:r>
      <w:r w:rsidRPr="00741611">
        <w:t>, he or she should talk with fellow recruiters and/or the state</w:t>
      </w:r>
      <w:r w:rsidRPr="00741611">
        <w:fldChar w:fldCharType="begin"/>
      </w:r>
      <w:r w:rsidRPr="00741611">
        <w:instrText xml:space="preserve"> XE "State" </w:instrText>
      </w:r>
      <w:r w:rsidRPr="00741611">
        <w:fldChar w:fldCharType="end"/>
      </w:r>
      <w:r w:rsidRPr="00741611">
        <w:t xml:space="preserve"> ID&amp;R</w:t>
      </w:r>
      <w:r w:rsidRPr="00741611">
        <w:fldChar w:fldCharType="begin"/>
      </w:r>
      <w:r w:rsidRPr="00741611">
        <w:instrText xml:space="preserve"> XE "Identification and Recruitment" </w:instrText>
      </w:r>
      <w:r w:rsidRPr="00741611">
        <w:fldChar w:fldCharType="end"/>
      </w:r>
      <w:r w:rsidRPr="00741611">
        <w:t xml:space="preserve"> coordinator</w:t>
      </w:r>
      <w:r w:rsidRPr="00741611">
        <w:fldChar w:fldCharType="begin"/>
      </w:r>
      <w:r w:rsidRPr="00741611">
        <w:instrText xml:space="preserve"> XE "Coordinator" </w:instrText>
      </w:r>
      <w:r w:rsidRPr="00741611">
        <w:fldChar w:fldCharType="end"/>
      </w:r>
      <w:r w:rsidRPr="00741611">
        <w:t xml:space="preserve"> before including it in the ID&amp;R action plan</w:t>
      </w:r>
      <w:r w:rsidRPr="00741611">
        <w:fldChar w:fldCharType="begin"/>
      </w:r>
      <w:r w:rsidRPr="00741611">
        <w:instrText xml:space="preserve"> XE "Action plan" </w:instrText>
      </w:r>
      <w:r w:rsidRPr="00741611">
        <w:fldChar w:fldCharType="end"/>
      </w:r>
      <w:r w:rsidRPr="00741611">
        <w:t>. Furthermore, the recruiter should follow state and local policies on media review, releases, and approvals. In any mass promotion,</w:t>
      </w:r>
      <w:r w:rsidRPr="00741611">
        <w:fldChar w:fldCharType="begin"/>
      </w:r>
      <w:r w:rsidRPr="00741611">
        <w:instrText xml:space="preserve"> XE "Promotion" </w:instrText>
      </w:r>
      <w:r w:rsidRPr="00741611">
        <w:fldChar w:fldCharType="end"/>
      </w:r>
      <w:r w:rsidRPr="00741611">
        <w:t xml:space="preserve"> the recruiter should provide clear information on the basic</w:t>
      </w:r>
      <w:r w:rsidRPr="00653FE9">
        <w:t xml:space="preserve"> eligibility</w:t>
      </w:r>
      <w:r w:rsidRPr="00653FE9">
        <w:fldChar w:fldCharType="begin"/>
      </w:r>
      <w:r w:rsidRPr="00653FE9">
        <w:instrText xml:space="preserve"> XE "Eligibility" </w:instrText>
      </w:r>
      <w:r w:rsidRPr="00653FE9">
        <w:fldChar w:fldCharType="end"/>
      </w:r>
      <w:r w:rsidRPr="00653FE9">
        <w:t xml:space="preserve"> requirements</w:t>
      </w:r>
      <w:r w:rsidRPr="00653FE9">
        <w:fldChar w:fldCharType="begin"/>
      </w:r>
      <w:r w:rsidRPr="00653FE9">
        <w:instrText xml:space="preserve"> XE “Requirements" </w:instrText>
      </w:r>
      <w:r w:rsidRPr="00653FE9">
        <w:fldChar w:fldCharType="end"/>
      </w:r>
      <w:r w:rsidRPr="00653FE9">
        <w:fldChar w:fldCharType="begin"/>
      </w:r>
      <w:r w:rsidRPr="00653FE9">
        <w:instrText xml:space="preserve"> XE "requirements" </w:instrText>
      </w:r>
      <w:r w:rsidRPr="00653FE9">
        <w:fldChar w:fldCharType="end"/>
      </w:r>
      <w:r w:rsidRPr="00653FE9">
        <w:t xml:space="preserve"> so as not to be flooded with families who need help but are not remotely eligible for program services</w:t>
      </w:r>
      <w:r>
        <w:t xml:space="preserve">. </w:t>
      </w:r>
      <w:r w:rsidRPr="00653FE9">
        <w:t xml:space="preserve">However, recruiters should avoid providing too much specific information on eligibility requirements so families do not </w:t>
      </w:r>
      <w:r w:rsidRPr="009641C0">
        <w:rPr>
          <w:rStyle w:val="Emphasis"/>
        </w:rPr>
        <w:t>learn</w:t>
      </w:r>
      <w:r w:rsidRPr="00653FE9">
        <w:t xml:space="preserve"> the eligibility requirements and provide the information they believe the recruiter wants</w:t>
      </w:r>
      <w:r>
        <w:t xml:space="preserve">. </w:t>
      </w:r>
      <w:r w:rsidRPr="00653FE9">
        <w:t xml:space="preserve">In response to specific questions about eligibility criteria, it is best to say, “There are general eligibility </w:t>
      </w:r>
      <w:r>
        <w:rPr>
          <w:lang w:val="en-US"/>
        </w:rPr>
        <w:t xml:space="preserve">requirements and </w:t>
      </w:r>
      <w:r w:rsidRPr="00653FE9">
        <w:t>guidelines, but program eligibility is determined on a case-by-case basis.”</w:t>
      </w:r>
    </w:p>
    <w:p w14:paraId="4E3AC798" w14:textId="77777777" w:rsidR="00286DC1" w:rsidRPr="00653FE9" w:rsidRDefault="00286DC1" w:rsidP="005514ED">
      <w:pPr>
        <w:pStyle w:val="IDRText"/>
      </w:pPr>
      <w:r w:rsidRPr="00653FE9">
        <w:t>Promotions may be particularly effective at reaching the migra</w:t>
      </w:r>
      <w:r>
        <w:t>tory</w:t>
      </w:r>
      <w:r w:rsidRPr="00653FE9">
        <w:t xml:space="preserve"> community</w:t>
      </w:r>
      <w:r w:rsidRPr="00653FE9">
        <w:fldChar w:fldCharType="begin"/>
      </w:r>
      <w:r w:rsidRPr="00653FE9">
        <w:instrText xml:space="preserve"> XE "Community" </w:instrText>
      </w:r>
      <w:r w:rsidRPr="00653FE9">
        <w:fldChar w:fldCharType="end"/>
      </w:r>
      <w:r w:rsidRPr="00653FE9">
        <w:t xml:space="preserve"> in both densely and sparsely populated areas</w:t>
      </w:r>
      <w:r>
        <w:t xml:space="preserve">. </w:t>
      </w:r>
      <w:r w:rsidRPr="00653FE9">
        <w:t>It may be too difficult or expensive to recruit in these areas, so promotions can be used to encourage migra</w:t>
      </w:r>
      <w:r>
        <w:t>tory</w:t>
      </w:r>
      <w:r w:rsidRPr="00653FE9">
        <w:t xml:space="preserve"> families to find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rather than the reverse</w:t>
      </w:r>
      <w:r>
        <w:t xml:space="preserve">. </w:t>
      </w:r>
      <w:r w:rsidRPr="00653FE9">
        <w:t>Promotions can also be done through cultural</w:t>
      </w:r>
      <w:r w:rsidRPr="00653FE9">
        <w:fldChar w:fldCharType="begin"/>
      </w:r>
      <w:r w:rsidRPr="00653FE9">
        <w:instrText xml:space="preserve"> XE "Culture; cultural" </w:instrText>
      </w:r>
      <w:r w:rsidRPr="00653FE9">
        <w:fldChar w:fldCharType="end"/>
      </w:r>
      <w:r w:rsidRPr="00653FE9">
        <w:t xml:space="preserve"> or social clubs that may attract migra</w:t>
      </w:r>
      <w:r>
        <w:t>tory</w:t>
      </w:r>
      <w:r w:rsidRPr="00653FE9">
        <w:t xml:space="preserve"> farmworkers</w:t>
      </w:r>
      <w:r w:rsidRPr="00653FE9">
        <w:fldChar w:fldCharType="begin"/>
      </w:r>
      <w:r w:rsidRPr="00653FE9">
        <w:instrText xml:space="preserve"> XE "Youth" </w:instrText>
      </w:r>
      <w:r w:rsidRPr="00653FE9">
        <w:fldChar w:fldCharType="end"/>
      </w:r>
      <w:r w:rsidRPr="00653FE9">
        <w:t>.</w:t>
      </w:r>
    </w:p>
    <w:p w14:paraId="4007E05F" w14:textId="77777777" w:rsidR="00286DC1" w:rsidRDefault="00286DC1" w:rsidP="005514ED">
      <w:pPr>
        <w:pStyle w:val="IDRText"/>
        <w:rPr>
          <w:lang w:val="en-US"/>
        </w:rPr>
      </w:pPr>
      <w:r w:rsidRPr="00653FE9">
        <w:t>In any promotion</w:t>
      </w:r>
      <w:r w:rsidRPr="00653FE9">
        <w:fldChar w:fldCharType="begin"/>
      </w:r>
      <w:r w:rsidRPr="00653FE9">
        <w:instrText xml:space="preserve"> XE "Promotion" </w:instrText>
      </w:r>
      <w:r w:rsidRPr="00653FE9">
        <w:fldChar w:fldCharType="end"/>
      </w:r>
      <w:r w:rsidRPr="00653FE9">
        <w:t xml:space="preserve"> of the MEP</w:t>
      </w:r>
      <w:r w:rsidRPr="00653FE9">
        <w:fldChar w:fldCharType="begin"/>
      </w:r>
      <w:r w:rsidRPr="00653FE9">
        <w:instrText xml:space="preserve"> XE "MEP" </w:instrText>
      </w:r>
      <w:r w:rsidRPr="00653FE9">
        <w:fldChar w:fldCharType="end"/>
      </w:r>
      <w:r w:rsidRPr="00653FE9">
        <w:fldChar w:fldCharType="begin"/>
      </w:r>
      <w:r w:rsidRPr="00653FE9">
        <w:instrText xml:space="preserve"> XE "Migrant Education Program" </w:instrText>
      </w:r>
      <w:r w:rsidRPr="00653FE9">
        <w:fldChar w:fldCharType="end"/>
      </w:r>
      <w:r w:rsidRPr="00653FE9">
        <w:t>, it is important to present a consistent message</w:t>
      </w:r>
      <w:r>
        <w:t xml:space="preserve">. </w:t>
      </w:r>
      <w:r w:rsidRPr="00653FE9">
        <w:t>In particular, everyone who comes into contact with the MEP should have the same understanding of its mission</w:t>
      </w:r>
      <w:r>
        <w:t xml:space="preserve">. </w:t>
      </w:r>
      <w:r w:rsidRPr="00653FE9">
        <w:t>Promotions should also use uniform symbols or images</w:t>
      </w:r>
      <w:r>
        <w:t xml:space="preserve">. </w:t>
      </w:r>
      <w:r w:rsidRPr="00653FE9">
        <w:t>One of the greatest tools the recruiter can use is the national MEP logo (</w:t>
      </w:r>
      <w:r>
        <w:rPr>
          <w:lang w:val="en-US"/>
        </w:rPr>
        <w:t>shown in Figure 3</w:t>
      </w:r>
      <w:r w:rsidRPr="00653FE9">
        <w:t>)</w:t>
      </w:r>
      <w:r w:rsidRPr="00653FE9">
        <w:fldChar w:fldCharType="begin"/>
      </w:r>
      <w:r w:rsidRPr="00653FE9">
        <w:instrText xml:space="preserve"> XE "Logo" </w:instrText>
      </w:r>
      <w:r w:rsidRPr="00653FE9">
        <w:fldChar w:fldCharType="end"/>
      </w:r>
      <w:r w:rsidRPr="00653FE9">
        <w:fldChar w:fldCharType="begin"/>
      </w:r>
      <w:r w:rsidRPr="00653FE9">
        <w:instrText xml:space="preserve"> XE "logo" </w:instrText>
      </w:r>
      <w:r w:rsidRPr="00653FE9">
        <w:fldChar w:fldCharType="end"/>
      </w:r>
      <w:r>
        <w:t xml:space="preserve">. </w:t>
      </w:r>
      <w:r w:rsidRPr="00653FE9">
        <w:t>Families who are familiar with the MEP may recognize the logo when they arrive in new areas</w:t>
      </w:r>
      <w:r>
        <w:t xml:space="preserve">. </w:t>
      </w:r>
      <w:r w:rsidRPr="00653FE9">
        <w:t>This familiarity can make the recruiter’s job easier</w:t>
      </w:r>
      <w:r>
        <w:rPr>
          <w:lang w:val="en-US"/>
        </w:rPr>
        <w:t>.</w:t>
      </w:r>
    </w:p>
    <w:p w14:paraId="0937614D" w14:textId="77777777" w:rsidR="00286DC1" w:rsidRPr="00F8120D" w:rsidRDefault="00286DC1" w:rsidP="0046103E">
      <w:pPr>
        <w:pStyle w:val="IDRFigure"/>
      </w:pPr>
      <w:bookmarkStart w:id="24" w:name="_Toc334612261"/>
      <w:bookmarkStart w:id="25" w:name="_Ref136922558"/>
      <w:r w:rsidRPr="00F8120D">
        <w:t xml:space="preserve">Figure 3. </w:t>
      </w:r>
      <w:r w:rsidRPr="00F8120D">
        <w:rPr>
          <w:noProof/>
        </w:rPr>
        <w:t>The Migrant Education Program</w:t>
      </w:r>
      <w:r w:rsidRPr="00F8120D">
        <w:rPr>
          <w:noProof/>
        </w:rPr>
        <w:fldChar w:fldCharType="begin"/>
      </w:r>
      <w:r w:rsidRPr="00F8120D">
        <w:rPr>
          <w:noProof/>
        </w:rPr>
        <w:instrText xml:space="preserve"> XE "</w:instrText>
      </w:r>
      <w:r w:rsidRPr="00F8120D">
        <w:instrText>Migrant Education Program"</w:instrText>
      </w:r>
      <w:r w:rsidRPr="00F8120D">
        <w:rPr>
          <w:noProof/>
        </w:rPr>
        <w:instrText xml:space="preserve"> </w:instrText>
      </w:r>
      <w:r w:rsidRPr="00F8120D">
        <w:rPr>
          <w:noProof/>
        </w:rPr>
        <w:fldChar w:fldCharType="end"/>
      </w:r>
      <w:r w:rsidRPr="00F8120D">
        <w:rPr>
          <w:noProof/>
        </w:rPr>
        <w:t xml:space="preserve"> Logo</w:t>
      </w:r>
      <w:r w:rsidRPr="00F8120D">
        <w:rPr>
          <w:noProof/>
        </w:rPr>
        <w:fldChar w:fldCharType="begin"/>
      </w:r>
      <w:r w:rsidRPr="00F8120D">
        <w:rPr>
          <w:noProof/>
        </w:rPr>
        <w:instrText xml:space="preserve"> XE "L</w:instrText>
      </w:r>
      <w:r w:rsidRPr="00F8120D">
        <w:instrText>ogo"</w:instrText>
      </w:r>
      <w:r w:rsidRPr="00F8120D">
        <w:rPr>
          <w:noProof/>
        </w:rPr>
        <w:instrText xml:space="preserve"> </w:instrText>
      </w:r>
      <w:r w:rsidRPr="00F8120D">
        <w:rPr>
          <w:noProof/>
        </w:rPr>
        <w:fldChar w:fldCharType="end"/>
      </w:r>
      <w:r w:rsidRPr="00F8120D">
        <w:t>.</w:t>
      </w:r>
      <w:bookmarkEnd w:id="24"/>
    </w:p>
    <w:p w14:paraId="2C9C70B6" w14:textId="77777777" w:rsidR="00286DC1" w:rsidRPr="005F28FE" w:rsidRDefault="00FE253E" w:rsidP="005514ED">
      <w:pPr>
        <w:pStyle w:val="IDRText"/>
      </w:pPr>
      <w:r>
        <w:rPr>
          <w:noProof/>
          <w:lang w:val="en-US" w:eastAsia="en-US"/>
        </w:rPr>
        <w:drawing>
          <wp:inline distT="0" distB="0" distL="0" distR="0" wp14:anchorId="73EE3E77" wp14:editId="33BA693D">
            <wp:extent cx="1560210" cy="1560210"/>
            <wp:effectExtent l="0" t="0" r="0" b="0"/>
            <wp:docPr id="49" name="Picture 49" descr="Migrant Education logo which is a circle. The outer red ring contains the words, Migrant Education, and Harvest of Hope. Inside the circle shows a green field with a yellow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igrant-Education-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0684" cy="1560684"/>
                    </a:xfrm>
                    <a:prstGeom prst="rect">
                      <a:avLst/>
                    </a:prstGeom>
                  </pic:spPr>
                </pic:pic>
              </a:graphicData>
            </a:graphic>
          </wp:inline>
        </w:drawing>
      </w:r>
    </w:p>
    <w:p w14:paraId="089CB044" w14:textId="77777777" w:rsidR="00286DC1" w:rsidRPr="00483580" w:rsidRDefault="00286DC1" w:rsidP="00CC1821">
      <w:pPr>
        <w:pStyle w:val="OMEHeading2"/>
      </w:pPr>
      <w:bookmarkStart w:id="26" w:name="_Toc334607934"/>
      <w:bookmarkStart w:id="27" w:name="_Toc334799903"/>
      <w:bookmarkStart w:id="28" w:name="_Toc524948310"/>
      <w:bookmarkEnd w:id="25"/>
      <w:r w:rsidRPr="001944DA">
        <w:t>Conclusion</w:t>
      </w:r>
      <w:bookmarkEnd w:id="26"/>
      <w:bookmarkEnd w:id="27"/>
      <w:bookmarkEnd w:id="28"/>
    </w:p>
    <w:p w14:paraId="391EB4BE" w14:textId="73D3DFDE" w:rsidR="000239A1" w:rsidRPr="00BC370D" w:rsidRDefault="00286DC1" w:rsidP="00CD1008">
      <w:pPr>
        <w:pStyle w:val="IDRText"/>
        <w:rPr>
          <w:u w:val="single"/>
        </w:rPr>
      </w:pPr>
      <w:r w:rsidRPr="001944DA">
        <w:t>In order to effectively conduct ID&amp;R</w:t>
      </w:r>
      <w:r w:rsidRPr="001944DA">
        <w:fldChar w:fldCharType="begin"/>
      </w:r>
      <w:r w:rsidRPr="001944DA">
        <w:instrText xml:space="preserve"> XE "Identification and Recruitment" </w:instrText>
      </w:r>
      <w:r w:rsidRPr="001944DA">
        <w:fldChar w:fldCharType="end"/>
      </w:r>
      <w:r w:rsidRPr="001944DA">
        <w:t xml:space="preserve"> activities the recruiter needs to research</w:t>
      </w:r>
      <w:r w:rsidRPr="001944DA">
        <w:fldChar w:fldCharType="begin"/>
      </w:r>
      <w:r w:rsidRPr="001944DA">
        <w:instrText xml:space="preserve"> XE "Research" </w:instrText>
      </w:r>
      <w:r w:rsidRPr="001944DA">
        <w:fldChar w:fldCharType="end"/>
      </w:r>
      <w:r w:rsidRPr="001944DA">
        <w:t xml:space="preserve"> the local</w:t>
      </w:r>
      <w:r w:rsidRPr="001944DA">
        <w:fldChar w:fldCharType="begin"/>
      </w:r>
      <w:r w:rsidRPr="001944DA">
        <w:instrText xml:space="preserve"> XE "Local" </w:instrText>
      </w:r>
      <w:r w:rsidRPr="001944DA">
        <w:fldChar w:fldCharType="end"/>
      </w:r>
      <w:r w:rsidRPr="001944DA">
        <w:t xml:space="preserve"> migra</w:t>
      </w:r>
      <w:r>
        <w:t>tory</w:t>
      </w:r>
      <w:r w:rsidRPr="001944DA">
        <w:t xml:space="preserve"> community</w:t>
      </w:r>
      <w:r w:rsidRPr="001944DA">
        <w:fldChar w:fldCharType="begin"/>
      </w:r>
      <w:r w:rsidRPr="001944DA">
        <w:instrText xml:space="preserve"> XE "Community" </w:instrText>
      </w:r>
      <w:r w:rsidRPr="001944DA">
        <w:fldChar w:fldCharType="end"/>
      </w:r>
      <w:r w:rsidRPr="001944DA">
        <w:t>, develop relationships with key contacts, build and use the recruitment network</w:t>
      </w:r>
      <w:r w:rsidRPr="001944DA">
        <w:fldChar w:fldCharType="begin"/>
      </w:r>
      <w:r w:rsidRPr="001944DA">
        <w:instrText xml:space="preserve"> XE "Recruitment network" </w:instrText>
      </w:r>
      <w:r w:rsidRPr="001944DA">
        <w:fldChar w:fldCharType="end"/>
      </w:r>
      <w:r w:rsidRPr="001944DA">
        <w:fldChar w:fldCharType="begin"/>
      </w:r>
      <w:r w:rsidRPr="001944DA">
        <w:instrText xml:space="preserve"> XE "network" </w:instrText>
      </w:r>
      <w:r w:rsidRPr="001944DA">
        <w:fldChar w:fldCharType="end"/>
      </w:r>
      <w:r w:rsidRPr="001944DA">
        <w:fldChar w:fldCharType="begin"/>
      </w:r>
      <w:r w:rsidRPr="001944DA">
        <w:instrText xml:space="preserve"> XE "Network" </w:instrText>
      </w:r>
      <w:r w:rsidRPr="001944DA">
        <w:fldChar w:fldCharType="end"/>
      </w:r>
      <w:r w:rsidRPr="001944DA">
        <w:t>, and find migra</w:t>
      </w:r>
      <w:r>
        <w:t>tory</w:t>
      </w:r>
      <w:r w:rsidRPr="001944DA">
        <w:t xml:space="preserve"> children</w:t>
      </w:r>
      <w:r>
        <w:t xml:space="preserve">. </w:t>
      </w:r>
      <w:r w:rsidRPr="001944DA">
        <w:t>Gathering information on the migra</w:t>
      </w:r>
      <w:r>
        <w:t>tory</w:t>
      </w:r>
      <w:r w:rsidRPr="001944DA">
        <w:t xml:space="preserve"> community before beginning recruitment activities can save both time and effort</w:t>
      </w:r>
      <w:r>
        <w:t xml:space="preserve">. </w:t>
      </w:r>
      <w:r w:rsidRPr="001944DA">
        <w:t>Furthermore, it helps the recruiter prioritize key activities and manage time efficiently</w:t>
      </w:r>
      <w:r>
        <w:t xml:space="preserve">. </w:t>
      </w:r>
      <w:r w:rsidRPr="001944DA">
        <w:t>Once the recruiter has identified areas that are likely to have migra</w:t>
      </w:r>
      <w:r>
        <w:t>tory</w:t>
      </w:r>
      <w:r w:rsidRPr="001944DA">
        <w:t xml:space="preserve"> families and youth, the next step is to develop an individual action plan</w:t>
      </w:r>
      <w:r w:rsidRPr="001944DA">
        <w:fldChar w:fldCharType="begin"/>
      </w:r>
      <w:r w:rsidRPr="001944DA">
        <w:instrText xml:space="preserve"> XE "Action plan" </w:instrText>
      </w:r>
      <w:r w:rsidRPr="001944DA">
        <w:fldChar w:fldCharType="end"/>
      </w:r>
      <w:r>
        <w:t xml:space="preserve">. </w:t>
      </w:r>
      <w:r w:rsidRPr="001944DA">
        <w:t xml:space="preserve">Chapter 5 will discuss </w:t>
      </w:r>
      <w:r w:rsidRPr="001944DA">
        <w:lastRenderedPageBreak/>
        <w:t>developing action plans, contacting migra</w:t>
      </w:r>
      <w:r>
        <w:t>tory</w:t>
      </w:r>
      <w:r w:rsidRPr="001944DA">
        <w:t xml:space="preserve"> families, and </w:t>
      </w:r>
      <w:r>
        <w:t xml:space="preserve">implementing </w:t>
      </w:r>
      <w:r w:rsidRPr="001944DA">
        <w:t>safe</w:t>
      </w:r>
      <w:r>
        <w:t xml:space="preserve"> practices</w:t>
      </w:r>
      <w:r w:rsidRPr="001944DA">
        <w:fldChar w:fldCharType="begin"/>
      </w:r>
      <w:r w:rsidRPr="001944DA">
        <w:instrText xml:space="preserve"> XE "Safety" </w:instrText>
      </w:r>
      <w:r w:rsidRPr="001944DA">
        <w:fldChar w:fldCharType="end"/>
      </w:r>
      <w:r w:rsidR="004024C5">
        <w:t xml:space="preserve"> while recruiting.</w:t>
      </w:r>
      <w:bookmarkStart w:id="29" w:name="_Toc334607936"/>
      <w:bookmarkStart w:id="30" w:name="_Toc334799905"/>
      <w:r w:rsidR="009641C0">
        <w:t xml:space="preserve"> </w:t>
      </w:r>
      <w:bookmarkStart w:id="31" w:name="_GoBack"/>
      <w:bookmarkEnd w:id="29"/>
      <w:bookmarkEnd w:id="30"/>
      <w:bookmarkEnd w:id="31"/>
    </w:p>
    <w:sectPr w:rsidR="000239A1" w:rsidRPr="00BC370D" w:rsidSect="005514ED">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58E5" w14:textId="77777777" w:rsidR="007504F9" w:rsidRDefault="007504F9" w:rsidP="00286DC1">
      <w:r>
        <w:separator/>
      </w:r>
    </w:p>
  </w:endnote>
  <w:endnote w:type="continuationSeparator" w:id="0">
    <w:p w14:paraId="08062A74" w14:textId="77777777" w:rsidR="007504F9" w:rsidRDefault="007504F9" w:rsidP="00286DC1">
      <w:r>
        <w:continuationSeparator/>
      </w:r>
    </w:p>
  </w:endnote>
  <w:endnote w:type="continuationNotice" w:id="1">
    <w:p w14:paraId="1E030350" w14:textId="77777777" w:rsidR="007504F9" w:rsidRDefault="007504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6F42" w14:textId="77777777" w:rsidR="007504F9" w:rsidRDefault="007504F9" w:rsidP="00286DC1">
      <w:r>
        <w:separator/>
      </w:r>
    </w:p>
  </w:footnote>
  <w:footnote w:type="continuationSeparator" w:id="0">
    <w:p w14:paraId="7C6048BC" w14:textId="77777777" w:rsidR="007504F9" w:rsidRDefault="007504F9" w:rsidP="00286DC1">
      <w:r>
        <w:continuationSeparator/>
      </w:r>
    </w:p>
  </w:footnote>
  <w:footnote w:type="continuationNotice" w:id="1">
    <w:p w14:paraId="078924D7" w14:textId="77777777" w:rsidR="007504F9" w:rsidRDefault="007504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FD9A" w14:textId="77777777" w:rsidR="00CD1008" w:rsidRPr="00D954F4" w:rsidRDefault="00CD1008" w:rsidP="00CD1008">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4</w:t>
    </w:r>
    <w:r>
      <w:rPr>
        <w:szCs w:val="18"/>
      </w:rPr>
      <w:tab/>
    </w:r>
    <w:r w:rsidRPr="00CD1008">
      <w:rPr>
        <w:szCs w:val="18"/>
      </w:rPr>
      <w:fldChar w:fldCharType="begin"/>
    </w:r>
    <w:r w:rsidRPr="00CD1008">
      <w:rPr>
        <w:szCs w:val="18"/>
      </w:rPr>
      <w:instrText xml:space="preserve"> PAGE   \* MERGEFORMAT </w:instrText>
    </w:r>
    <w:r w:rsidRPr="00CD1008">
      <w:rPr>
        <w:szCs w:val="18"/>
      </w:rPr>
      <w:fldChar w:fldCharType="separate"/>
    </w:r>
    <w:r w:rsidRPr="00CD1008">
      <w:rPr>
        <w:szCs w:val="18"/>
      </w:rPr>
      <w:t>1</w:t>
    </w:r>
    <w:r w:rsidRPr="00CD1008">
      <w:rPr>
        <w:noProof/>
        <w:szCs w:val="18"/>
      </w:rPr>
      <w:fldChar w:fldCharType="end"/>
    </w:r>
    <w:r w:rsidRPr="00CD1008">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C19"/>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8783E"/>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0D46"/>
    <w:rsid w:val="00686109"/>
    <w:rsid w:val="0068655C"/>
    <w:rsid w:val="00691B10"/>
    <w:rsid w:val="00692022"/>
    <w:rsid w:val="00693C1A"/>
    <w:rsid w:val="006946AC"/>
    <w:rsid w:val="0069568B"/>
    <w:rsid w:val="006B235E"/>
    <w:rsid w:val="006B3F6A"/>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04F9"/>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412F"/>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51F4"/>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008"/>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B713D"/>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hc.hrsa.gov/uds/datacenter.aspx?fd=mh" TargetMode="External"/><Relationship Id="rId18" Type="http://schemas.openxmlformats.org/officeDocument/2006/relationships/hyperlink" Target="http://www.nass.usd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leta.gov/agworker/naws.cfm" TargetMode="External"/><Relationship Id="rId7" Type="http://schemas.openxmlformats.org/officeDocument/2006/relationships/settings" Target="settings.xml"/><Relationship Id="rId12" Type="http://schemas.openxmlformats.org/officeDocument/2006/relationships/hyperlink" Target="https://www.mapquest.com" TargetMode="External"/><Relationship Id="rId17" Type="http://schemas.openxmlformats.org/officeDocument/2006/relationships/hyperlink" Target="http://www.doleta.gov/programs/MSFW.cf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rvicelocator.org" TargetMode="External"/><Relationship Id="rId20" Type="http://schemas.openxmlformats.org/officeDocument/2006/relationships/hyperlink" Target="https://www.agcensus.usda.gov/Publications/2012/Full_Report/Census_by_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google.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leta.gov/Farmworker/html/NFJP.cfm"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tension.org" TargetMode="External"/><Relationship Id="rId22" Type="http://schemas.openxmlformats.org/officeDocument/2006/relationships/hyperlink" Target="http://icert.doleta.gov/index.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4.xml><?xml version="1.0" encoding="utf-8"?>
<ds:datastoreItem xmlns:ds="http://schemas.openxmlformats.org/officeDocument/2006/customXml" ds:itemID="{31E926CF-BAEF-5346-848E-E2B5A705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8134</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54390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2</cp:revision>
  <cp:lastPrinted>2018-07-20T17:55:00Z</cp:lastPrinted>
  <dcterms:created xsi:type="dcterms:W3CDTF">2018-10-01T22:09:00Z</dcterms:created>
  <dcterms:modified xsi:type="dcterms:W3CDTF">2018-10-01T22:09:00Z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