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71C8" w14:textId="7A7D33FD" w:rsidR="00504CD9" w:rsidRPr="00456162" w:rsidRDefault="00504CD9" w:rsidP="0084728B">
      <w:pPr>
        <w:pStyle w:val="Heading1"/>
      </w:pPr>
      <w:r w:rsidRPr="00456162">
        <w:t xml:space="preserve">Module </w:t>
      </w:r>
      <w:r>
        <w:t>4</w:t>
      </w:r>
      <w:r w:rsidR="00EF6BB7">
        <w:t>:</w:t>
      </w:r>
      <w:r>
        <w:t xml:space="preserve"> Migrant Education Program Subgranting Procedures</w:t>
      </w:r>
    </w:p>
    <w:p w14:paraId="1FDF1B4A" w14:textId="6678D6B1" w:rsidR="00A32F0E" w:rsidRPr="006D3240" w:rsidRDefault="00943F77" w:rsidP="0084728B">
      <w:pPr>
        <w:pStyle w:val="SubheadingsMEP"/>
      </w:pPr>
      <w:r>
        <w:t xml:space="preserve">Quick Reference and Reflection Sheet QRRS </w:t>
      </w:r>
      <w:r w:rsidR="00CD5746">
        <w:t>4</w:t>
      </w:r>
      <w:r>
        <w:t>.</w:t>
      </w:r>
      <w:r w:rsidR="00814364">
        <w:t>3</w:t>
      </w:r>
      <w:r w:rsidR="0084728B">
        <w:t>:</w:t>
      </w:r>
      <w:r w:rsidR="0084728B">
        <w:br/>
      </w:r>
      <w:r w:rsidR="000D1702">
        <w:t>S</w:t>
      </w:r>
      <w:r w:rsidR="009060A2" w:rsidRPr="006D3240">
        <w:t xml:space="preserve">ubgrant </w:t>
      </w:r>
      <w:r w:rsidR="000D1702">
        <w:t>A</w:t>
      </w:r>
      <w:r w:rsidR="009060A2" w:rsidRPr="006D3240">
        <w:t>pplication</w:t>
      </w:r>
      <w:r w:rsidR="00814364">
        <w:t>/</w:t>
      </w:r>
      <w:r w:rsidR="000D1702">
        <w:t>R</w:t>
      </w:r>
      <w:r w:rsidR="00814364">
        <w:t xml:space="preserve">equest for </w:t>
      </w:r>
      <w:r w:rsidR="000D1702">
        <w:t>P</w:t>
      </w:r>
      <w:r w:rsidR="00814364">
        <w:t>roposal</w:t>
      </w:r>
      <w:r w:rsidR="009060A2" w:rsidRPr="006D3240">
        <w:t xml:space="preserve"> </w:t>
      </w:r>
      <w:r w:rsidR="000D1702">
        <w:t>Package</w:t>
      </w:r>
    </w:p>
    <w:p w14:paraId="4D26B741" w14:textId="77777777" w:rsidR="00456162" w:rsidRDefault="008C6DF6" w:rsidP="008C6DF6">
      <w:pPr>
        <w:tabs>
          <w:tab w:val="left" w:pos="5856"/>
        </w:tabs>
      </w:pPr>
      <w:r>
        <w:tab/>
      </w:r>
    </w:p>
    <w:p w14:paraId="61511C7E" w14:textId="267DF13E" w:rsidR="009060A2" w:rsidRDefault="0084728B" w:rsidP="009060A2">
      <w:r>
        <w:rPr>
          <w:u w:val="single"/>
        </w:rPr>
        <w:br/>
      </w:r>
      <w:r w:rsidR="00D428DC" w:rsidRPr="0084728B">
        <w:rPr>
          <w:rFonts w:ascii="Franklin Gothic Medium" w:hAnsi="Franklin Gothic Medium"/>
          <w:sz w:val="24"/>
          <w:szCs w:val="24"/>
        </w:rPr>
        <w:t>Instructions:</w:t>
      </w:r>
      <w:r w:rsidR="00D428DC">
        <w:t xml:space="preserve"> </w:t>
      </w:r>
      <w:r>
        <w:br/>
      </w:r>
      <w:r w:rsidR="009060A2" w:rsidRPr="009060A2">
        <w:t xml:space="preserve">In planning for a new subgrant application cycle, review recent LOA </w:t>
      </w:r>
      <w:r w:rsidR="00996B6A">
        <w:t xml:space="preserve">monitoring and </w:t>
      </w:r>
      <w:r w:rsidR="009060A2" w:rsidRPr="009060A2">
        <w:t>evaluation reports to determine what, if any, issues have arisen in</w:t>
      </w:r>
      <w:r w:rsidR="001B2A7F">
        <w:t xml:space="preserve"> implementation of the grant</w:t>
      </w:r>
      <w:r w:rsidR="009060A2">
        <w:t>. If there are some common or recurring i</w:t>
      </w:r>
      <w:r w:rsidR="00996B6A">
        <w:t>ssues</w:t>
      </w:r>
      <w:r w:rsidR="009060A2">
        <w:t xml:space="preserve">, you might consider how the </w:t>
      </w:r>
      <w:r w:rsidR="00AD1A36">
        <w:t>application</w:t>
      </w:r>
      <w:r w:rsidR="007B291F">
        <w:t>/proposal</w:t>
      </w:r>
      <w:r w:rsidR="00AD1A36">
        <w:t xml:space="preserve"> package or technical assistance (pre-application and post award) meeting(s) </w:t>
      </w:r>
      <w:r w:rsidR="009060A2">
        <w:t xml:space="preserve">could be </w:t>
      </w:r>
      <w:r w:rsidR="00255E3B">
        <w:t>revised</w:t>
      </w:r>
      <w:r w:rsidR="009060A2">
        <w:t>.</w:t>
      </w:r>
    </w:p>
    <w:p w14:paraId="7FBEEC7B" w14:textId="77777777" w:rsidR="00B770E6" w:rsidRPr="009060A2" w:rsidRDefault="00B770E6" w:rsidP="00906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96"/>
        <w:gridCol w:w="3113"/>
      </w:tblGrid>
      <w:tr w:rsidR="00456162" w14:paraId="55AAABC4" w14:textId="77777777" w:rsidTr="0084728B">
        <w:trPr>
          <w:cantSplit/>
          <w:trHeight w:val="1440"/>
          <w:tblHeader/>
        </w:trPr>
        <w:tc>
          <w:tcPr>
            <w:tcW w:w="3186" w:type="dxa"/>
            <w:shd w:val="clear" w:color="auto" w:fill="003065" w:themeFill="accent5"/>
          </w:tcPr>
          <w:p w14:paraId="5A831B4D" w14:textId="77777777" w:rsidR="004A2E94" w:rsidRDefault="004A2E94" w:rsidP="0084728B">
            <w:pPr>
              <w:pStyle w:val="Heading2"/>
            </w:pPr>
          </w:p>
          <w:p w14:paraId="72BB331C" w14:textId="77777777" w:rsidR="00456162" w:rsidRPr="00456162" w:rsidRDefault="00996B6A" w:rsidP="0084728B">
            <w:pPr>
              <w:pStyle w:val="Heading2"/>
            </w:pPr>
            <w:r>
              <w:t>Common</w:t>
            </w:r>
            <w:r w:rsidR="00CF43F5">
              <w:t xml:space="preserve"> or recurring issues </w:t>
            </w:r>
          </w:p>
        </w:tc>
        <w:tc>
          <w:tcPr>
            <w:tcW w:w="3186" w:type="dxa"/>
            <w:shd w:val="clear" w:color="auto" w:fill="003065" w:themeFill="accent5"/>
          </w:tcPr>
          <w:p w14:paraId="12A4A6B8" w14:textId="77777777" w:rsidR="004A2E94" w:rsidRDefault="004A2E94" w:rsidP="0084728B">
            <w:pPr>
              <w:pStyle w:val="Heading2"/>
            </w:pPr>
          </w:p>
          <w:p w14:paraId="519CA9E6" w14:textId="77777777" w:rsidR="00456162" w:rsidRPr="00456162" w:rsidRDefault="001B2A7F" w:rsidP="0084728B">
            <w:pPr>
              <w:pStyle w:val="Heading2"/>
            </w:pPr>
            <w:r>
              <w:t>What w</w:t>
            </w:r>
            <w:r w:rsidR="007B291F">
              <w:t>ere</w:t>
            </w:r>
            <w:r>
              <w:t xml:space="preserve"> the specific issue</w:t>
            </w:r>
            <w:r w:rsidR="007B291F">
              <w:t>s</w:t>
            </w:r>
            <w:r>
              <w:t>?</w:t>
            </w:r>
          </w:p>
        </w:tc>
        <w:tc>
          <w:tcPr>
            <w:tcW w:w="3186" w:type="dxa"/>
            <w:shd w:val="clear" w:color="auto" w:fill="003065" w:themeFill="accent5"/>
          </w:tcPr>
          <w:p w14:paraId="022EBA38" w14:textId="77777777" w:rsidR="00456162" w:rsidRPr="00456162" w:rsidRDefault="00AD1A36" w:rsidP="0084728B">
            <w:pPr>
              <w:pStyle w:val="Heading2"/>
            </w:pPr>
            <w:r>
              <w:t xml:space="preserve">What information could be provided in advance to grantees to </w:t>
            </w:r>
            <w:r w:rsidR="009060A2">
              <w:t>prevent th</w:t>
            </w:r>
            <w:r w:rsidR="007B291F">
              <w:t>ese</w:t>
            </w:r>
            <w:r w:rsidR="009060A2">
              <w:t xml:space="preserve"> </w:t>
            </w:r>
            <w:r>
              <w:t>issue</w:t>
            </w:r>
            <w:r w:rsidR="007B291F">
              <w:t>s</w:t>
            </w:r>
            <w:r>
              <w:t xml:space="preserve"> </w:t>
            </w:r>
            <w:r w:rsidR="009060A2">
              <w:t>in the future?</w:t>
            </w:r>
          </w:p>
        </w:tc>
      </w:tr>
      <w:tr w:rsidR="009060A2" w14:paraId="0EB45E3D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1908C4EB" w14:textId="5075367B" w:rsidR="009060A2" w:rsidRPr="00C202FB" w:rsidRDefault="00996B6A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Alignment of state MEP goals</w:t>
            </w:r>
          </w:p>
        </w:tc>
        <w:tc>
          <w:tcPr>
            <w:tcW w:w="3186" w:type="dxa"/>
          </w:tcPr>
          <w:p w14:paraId="00773A46" w14:textId="77777777" w:rsidR="009060A2" w:rsidRDefault="009060A2" w:rsidP="0079170B">
            <w:bookmarkStart w:id="0" w:name="_GoBack"/>
            <w:bookmarkEnd w:id="0"/>
          </w:p>
        </w:tc>
        <w:tc>
          <w:tcPr>
            <w:tcW w:w="3186" w:type="dxa"/>
          </w:tcPr>
          <w:p w14:paraId="79034D2B" w14:textId="77777777" w:rsidR="009060A2" w:rsidRDefault="009060A2" w:rsidP="0079170B"/>
        </w:tc>
      </w:tr>
      <w:tr w:rsidR="006D7098" w14:paraId="27864C42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0A4F41DE" w14:textId="3BB7F429" w:rsidR="006D7098" w:rsidRPr="00C202FB" w:rsidRDefault="006D7098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Attain</w:t>
            </w:r>
            <w:r w:rsidR="00996B6A" w:rsidRPr="00C202FB">
              <w:t>ment of annual program outcomes</w:t>
            </w:r>
          </w:p>
        </w:tc>
        <w:tc>
          <w:tcPr>
            <w:tcW w:w="3186" w:type="dxa"/>
          </w:tcPr>
          <w:p w14:paraId="1D9EA4B6" w14:textId="77777777" w:rsidR="006D7098" w:rsidRDefault="006D7098" w:rsidP="0079170B"/>
        </w:tc>
        <w:tc>
          <w:tcPr>
            <w:tcW w:w="3186" w:type="dxa"/>
          </w:tcPr>
          <w:p w14:paraId="6A21A365" w14:textId="77777777" w:rsidR="006D7098" w:rsidRDefault="006D7098" w:rsidP="0079170B"/>
        </w:tc>
      </w:tr>
      <w:tr w:rsidR="009060A2" w14:paraId="63F5B87F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66284F66" w14:textId="77777777" w:rsidR="009060A2" w:rsidRPr="00C202FB" w:rsidRDefault="009060A2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Alignment with state MEP goals</w:t>
            </w:r>
          </w:p>
        </w:tc>
        <w:tc>
          <w:tcPr>
            <w:tcW w:w="3186" w:type="dxa"/>
          </w:tcPr>
          <w:p w14:paraId="337AEA93" w14:textId="77777777" w:rsidR="009060A2" w:rsidRDefault="009060A2" w:rsidP="0079170B"/>
        </w:tc>
        <w:tc>
          <w:tcPr>
            <w:tcW w:w="3186" w:type="dxa"/>
          </w:tcPr>
          <w:p w14:paraId="0D85E02C" w14:textId="77777777" w:rsidR="009060A2" w:rsidRDefault="009060A2" w:rsidP="0079170B"/>
        </w:tc>
      </w:tr>
      <w:tr w:rsidR="00AD1A36" w14:paraId="076BD2F9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6034437F" w14:textId="26393A7B" w:rsidR="00AD1A36" w:rsidRPr="00C202FB" w:rsidRDefault="00AD1A36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Adherence with the Service Delivery Plan</w:t>
            </w:r>
          </w:p>
        </w:tc>
        <w:tc>
          <w:tcPr>
            <w:tcW w:w="3186" w:type="dxa"/>
          </w:tcPr>
          <w:p w14:paraId="500E482F" w14:textId="77777777" w:rsidR="00AD1A36" w:rsidRDefault="00AD1A36" w:rsidP="0079170B"/>
        </w:tc>
        <w:tc>
          <w:tcPr>
            <w:tcW w:w="3186" w:type="dxa"/>
          </w:tcPr>
          <w:p w14:paraId="4EF4263D" w14:textId="77777777" w:rsidR="00AD1A36" w:rsidRDefault="00AD1A36" w:rsidP="0079170B"/>
        </w:tc>
      </w:tr>
      <w:tr w:rsidR="009060A2" w14:paraId="5B1E364C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02A830B6" w14:textId="7C8535F4" w:rsidR="009060A2" w:rsidRPr="00C202FB" w:rsidRDefault="009060A2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lastRenderedPageBreak/>
              <w:t xml:space="preserve">Providing </w:t>
            </w:r>
            <w:r w:rsidR="00AD1A36" w:rsidRPr="00C202FB">
              <w:t xml:space="preserve">proposed </w:t>
            </w:r>
            <w:r w:rsidR="00E86A3B" w:rsidRPr="00C202FB">
              <w:t xml:space="preserve">“allowable </w:t>
            </w:r>
            <w:r w:rsidRPr="00C202FB">
              <w:t>services</w:t>
            </w:r>
            <w:r w:rsidR="00E86A3B" w:rsidRPr="00C202FB">
              <w:t>”</w:t>
            </w:r>
            <w:r w:rsidRPr="00C202FB">
              <w:t xml:space="preserve"> to migrant children</w:t>
            </w:r>
          </w:p>
        </w:tc>
        <w:tc>
          <w:tcPr>
            <w:tcW w:w="3186" w:type="dxa"/>
          </w:tcPr>
          <w:p w14:paraId="09615A76" w14:textId="77777777" w:rsidR="009060A2" w:rsidRDefault="009060A2" w:rsidP="0079170B"/>
        </w:tc>
        <w:tc>
          <w:tcPr>
            <w:tcW w:w="3186" w:type="dxa"/>
          </w:tcPr>
          <w:p w14:paraId="76D81804" w14:textId="77777777" w:rsidR="009060A2" w:rsidRDefault="009060A2" w:rsidP="0079170B"/>
        </w:tc>
      </w:tr>
      <w:tr w:rsidR="009060A2" w14:paraId="2C801E4C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2F1A963E" w14:textId="1D73D777" w:rsidR="009060A2" w:rsidRPr="00C202FB" w:rsidRDefault="009060A2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 xml:space="preserve">Meeting the needs of </w:t>
            </w:r>
            <w:r w:rsidR="007B291F" w:rsidRPr="00C202FB">
              <w:t>PFS</w:t>
            </w:r>
            <w:r w:rsidRPr="00C202FB">
              <w:t xml:space="preserve"> migrant children</w:t>
            </w:r>
          </w:p>
        </w:tc>
        <w:tc>
          <w:tcPr>
            <w:tcW w:w="3186" w:type="dxa"/>
          </w:tcPr>
          <w:p w14:paraId="2A029BEC" w14:textId="77777777" w:rsidR="009060A2" w:rsidRDefault="009060A2" w:rsidP="0079170B"/>
        </w:tc>
        <w:tc>
          <w:tcPr>
            <w:tcW w:w="3186" w:type="dxa"/>
          </w:tcPr>
          <w:p w14:paraId="41246694" w14:textId="77777777" w:rsidR="009060A2" w:rsidRDefault="009060A2" w:rsidP="0079170B"/>
        </w:tc>
      </w:tr>
      <w:tr w:rsidR="009060A2" w14:paraId="787E1AA5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73E5EDE3" w14:textId="001DB398" w:rsidR="009060A2" w:rsidRPr="00C202FB" w:rsidRDefault="009060A2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Parental and community involvement</w:t>
            </w:r>
          </w:p>
        </w:tc>
        <w:tc>
          <w:tcPr>
            <w:tcW w:w="3186" w:type="dxa"/>
          </w:tcPr>
          <w:p w14:paraId="56E41726" w14:textId="77777777" w:rsidR="009060A2" w:rsidRDefault="009060A2" w:rsidP="0079170B"/>
        </w:tc>
        <w:tc>
          <w:tcPr>
            <w:tcW w:w="3186" w:type="dxa"/>
          </w:tcPr>
          <w:p w14:paraId="0758E60C" w14:textId="77777777" w:rsidR="009060A2" w:rsidRDefault="009060A2" w:rsidP="0079170B"/>
        </w:tc>
      </w:tr>
      <w:tr w:rsidR="009060A2" w14:paraId="1946ED54" w14:textId="77777777" w:rsidTr="0079170B">
        <w:trPr>
          <w:cantSplit/>
          <w:trHeight w:val="1051"/>
        </w:trPr>
        <w:tc>
          <w:tcPr>
            <w:tcW w:w="3186" w:type="dxa"/>
            <w:shd w:val="clear" w:color="auto" w:fill="E6F0F9"/>
          </w:tcPr>
          <w:p w14:paraId="2AB72347" w14:textId="0E7F8D03" w:rsidR="009060A2" w:rsidRPr="00C202FB" w:rsidRDefault="009060A2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Collaboration and coordination with school districts (if the LEA is not the LOA)</w:t>
            </w:r>
            <w:r w:rsidR="00AD1A36" w:rsidRPr="00C202FB">
              <w:t xml:space="preserve"> for the delivery of services</w:t>
            </w:r>
          </w:p>
        </w:tc>
        <w:tc>
          <w:tcPr>
            <w:tcW w:w="3186" w:type="dxa"/>
          </w:tcPr>
          <w:p w14:paraId="4ED12353" w14:textId="77777777" w:rsidR="009060A2" w:rsidRDefault="009060A2" w:rsidP="0079170B"/>
        </w:tc>
        <w:tc>
          <w:tcPr>
            <w:tcW w:w="3186" w:type="dxa"/>
          </w:tcPr>
          <w:p w14:paraId="4844FA66" w14:textId="77777777" w:rsidR="009060A2" w:rsidRDefault="009060A2" w:rsidP="0079170B"/>
        </w:tc>
      </w:tr>
      <w:tr w:rsidR="009060A2" w14:paraId="68327375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3F6B1EB8" w14:textId="4E5167CF" w:rsidR="009060A2" w:rsidRPr="00C202FB" w:rsidRDefault="00AD1A36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General program implementation</w:t>
            </w:r>
          </w:p>
        </w:tc>
        <w:tc>
          <w:tcPr>
            <w:tcW w:w="3186" w:type="dxa"/>
          </w:tcPr>
          <w:p w14:paraId="0B864799" w14:textId="77777777" w:rsidR="009060A2" w:rsidRDefault="009060A2" w:rsidP="0079170B"/>
        </w:tc>
        <w:tc>
          <w:tcPr>
            <w:tcW w:w="3186" w:type="dxa"/>
          </w:tcPr>
          <w:p w14:paraId="39756863" w14:textId="77777777" w:rsidR="009060A2" w:rsidRDefault="009060A2" w:rsidP="0079170B"/>
        </w:tc>
      </w:tr>
      <w:tr w:rsidR="009060A2" w14:paraId="272F682F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54A5B5F5" w14:textId="24084F7E" w:rsidR="009060A2" w:rsidRPr="00C202FB" w:rsidRDefault="001B2A7F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Expenditures</w:t>
            </w:r>
          </w:p>
        </w:tc>
        <w:tc>
          <w:tcPr>
            <w:tcW w:w="3186" w:type="dxa"/>
          </w:tcPr>
          <w:p w14:paraId="744256EF" w14:textId="77777777" w:rsidR="009060A2" w:rsidRDefault="009060A2" w:rsidP="0079170B"/>
        </w:tc>
        <w:tc>
          <w:tcPr>
            <w:tcW w:w="3186" w:type="dxa"/>
          </w:tcPr>
          <w:p w14:paraId="300E1459" w14:textId="77777777" w:rsidR="009060A2" w:rsidRDefault="009060A2" w:rsidP="0079170B"/>
        </w:tc>
      </w:tr>
      <w:tr w:rsidR="009060A2" w14:paraId="5F9900C8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3FAD10EA" w14:textId="6DDE51EA" w:rsidR="001B2A7F" w:rsidRPr="00C202FB" w:rsidRDefault="001B2A7F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Reporting requirements</w:t>
            </w:r>
          </w:p>
        </w:tc>
        <w:tc>
          <w:tcPr>
            <w:tcW w:w="3186" w:type="dxa"/>
          </w:tcPr>
          <w:p w14:paraId="6D6EC004" w14:textId="77777777" w:rsidR="009060A2" w:rsidRDefault="009060A2" w:rsidP="0079170B"/>
        </w:tc>
        <w:tc>
          <w:tcPr>
            <w:tcW w:w="3186" w:type="dxa"/>
          </w:tcPr>
          <w:p w14:paraId="4CC93F94" w14:textId="77777777" w:rsidR="009060A2" w:rsidRDefault="009060A2" w:rsidP="0079170B"/>
        </w:tc>
      </w:tr>
      <w:tr w:rsidR="009060A2" w14:paraId="30CE56CF" w14:textId="77777777" w:rsidTr="0079170B">
        <w:trPr>
          <w:cantSplit/>
          <w:trHeight w:val="1296"/>
        </w:trPr>
        <w:tc>
          <w:tcPr>
            <w:tcW w:w="3186" w:type="dxa"/>
            <w:shd w:val="clear" w:color="auto" w:fill="E6F0F9"/>
          </w:tcPr>
          <w:p w14:paraId="5C289F35" w14:textId="04F9603E" w:rsidR="006D7098" w:rsidRPr="00C202FB" w:rsidRDefault="006D7098" w:rsidP="0079170B">
            <w:pPr>
              <w:pStyle w:val="ListParagraph"/>
              <w:numPr>
                <w:ilvl w:val="0"/>
                <w:numId w:val="6"/>
              </w:numPr>
              <w:ind w:left="420" w:hanging="450"/>
            </w:pPr>
            <w:r w:rsidRPr="00C202FB">
              <w:t>Compliance with federal and state requirements</w:t>
            </w:r>
          </w:p>
        </w:tc>
        <w:tc>
          <w:tcPr>
            <w:tcW w:w="3186" w:type="dxa"/>
          </w:tcPr>
          <w:p w14:paraId="1D70A4A6" w14:textId="77777777" w:rsidR="009060A2" w:rsidRDefault="009060A2" w:rsidP="0079170B"/>
        </w:tc>
        <w:tc>
          <w:tcPr>
            <w:tcW w:w="3186" w:type="dxa"/>
          </w:tcPr>
          <w:p w14:paraId="05693978" w14:textId="77777777" w:rsidR="009060A2" w:rsidRDefault="009060A2" w:rsidP="0079170B"/>
        </w:tc>
      </w:tr>
    </w:tbl>
    <w:p w14:paraId="76E50F19" w14:textId="77777777" w:rsidR="00912BB9" w:rsidRDefault="00860EB0"/>
    <w:sectPr w:rsidR="00912BB9" w:rsidSect="00936A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0454" w14:textId="77777777" w:rsidR="00860EB0" w:rsidRDefault="00860EB0" w:rsidP="00456162">
      <w:r>
        <w:separator/>
      </w:r>
    </w:p>
  </w:endnote>
  <w:endnote w:type="continuationSeparator" w:id="0">
    <w:p w14:paraId="0F26B99E" w14:textId="77777777" w:rsidR="00860EB0" w:rsidRDefault="00860EB0" w:rsidP="0045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0775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AE5760" w14:textId="2D14E201" w:rsidR="00C30F11" w:rsidRDefault="00C30F11" w:rsidP="00457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98C1C" w14:textId="77777777" w:rsidR="00936AB3" w:rsidRDefault="00936AB3" w:rsidP="00C30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4370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1FA326" w14:textId="207E200A" w:rsidR="00C30F11" w:rsidRDefault="00C30F11" w:rsidP="00457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4536E7" w14:textId="2BE2C9A0" w:rsidR="00C30F11" w:rsidRPr="00C30F11" w:rsidRDefault="00C30F11" w:rsidP="00C30F11">
    <w:pPr>
      <w:pStyle w:val="Footer"/>
    </w:pPr>
    <w:r w:rsidRPr="00C30F11">
      <w:t>New Directors’ Orientation Tutorial, Funded by the U.S. Department of Education</w:t>
    </w:r>
    <w:r w:rsidRPr="00C30F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F4B6" w14:textId="77777777" w:rsidR="00860EB0" w:rsidRDefault="00860EB0" w:rsidP="00456162">
      <w:r>
        <w:separator/>
      </w:r>
    </w:p>
  </w:footnote>
  <w:footnote w:type="continuationSeparator" w:id="0">
    <w:p w14:paraId="36502BD5" w14:textId="77777777" w:rsidR="00860EB0" w:rsidRDefault="00860EB0" w:rsidP="0045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55BF" w14:textId="1964DDA4" w:rsidR="00936AB3" w:rsidRDefault="00D81F31" w:rsidP="00936AB3">
    <w:pPr>
      <w:pStyle w:val="Header"/>
      <w:pBdr>
        <w:bottom w:val="single" w:sz="4" w:space="1" w:color="D0CECE" w:themeColor="background2" w:themeShade="E6"/>
      </w:pBdr>
    </w:pPr>
    <w:r>
      <w:rPr>
        <w:rFonts w:cs="Arial"/>
      </w:rPr>
      <w:t>Migrant Education Program Subgrant Procedures</w:t>
    </w:r>
    <w:r>
      <w:t xml:space="preserve"> </w:t>
    </w:r>
    <w:r w:rsidR="00936AB3">
      <w:ptab w:relativeTo="margin" w:alignment="center" w:leader="none"/>
    </w:r>
    <w:r w:rsidR="00936AB3">
      <w:ptab w:relativeTo="margin" w:alignment="right" w:leader="none"/>
    </w:r>
    <w:r w:rsidR="00936AB3">
      <w:t xml:space="preserve">Module 4: </w:t>
    </w:r>
    <w:r w:rsidR="00C202FB">
      <w:t xml:space="preserve">Sheet </w:t>
    </w:r>
    <w:r w:rsidR="00936AB3">
      <w:t>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0"/>
    <w:multiLevelType w:val="hybridMultilevel"/>
    <w:tmpl w:val="EF60D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5BC"/>
    <w:multiLevelType w:val="multilevel"/>
    <w:tmpl w:val="A9EA27A8"/>
    <w:lvl w:ilvl="0">
      <w:start w:val="1"/>
      <w:numFmt w:val="decimal"/>
      <w:pStyle w:val="IDR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EB570F"/>
    <w:multiLevelType w:val="multilevel"/>
    <w:tmpl w:val="58B8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4951D4"/>
    <w:multiLevelType w:val="hybridMultilevel"/>
    <w:tmpl w:val="E07C7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217E39"/>
    <w:multiLevelType w:val="hybridMultilevel"/>
    <w:tmpl w:val="3D7666A4"/>
    <w:lvl w:ilvl="0" w:tplc="0622A4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E7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6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7C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07A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2CE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D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29E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E9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62"/>
    <w:rsid w:val="00095809"/>
    <w:rsid w:val="000C5552"/>
    <w:rsid w:val="000D1702"/>
    <w:rsid w:val="001051DC"/>
    <w:rsid w:val="001055E5"/>
    <w:rsid w:val="0010658B"/>
    <w:rsid w:val="00180EA5"/>
    <w:rsid w:val="0019046C"/>
    <w:rsid w:val="001B2A7F"/>
    <w:rsid w:val="001C2CEB"/>
    <w:rsid w:val="00255E3B"/>
    <w:rsid w:val="00280EF4"/>
    <w:rsid w:val="002A2D86"/>
    <w:rsid w:val="003202FD"/>
    <w:rsid w:val="00337D18"/>
    <w:rsid w:val="00351E3E"/>
    <w:rsid w:val="00456162"/>
    <w:rsid w:val="004A2E94"/>
    <w:rsid w:val="004B3BA2"/>
    <w:rsid w:val="004C79C2"/>
    <w:rsid w:val="004D2503"/>
    <w:rsid w:val="00504CD9"/>
    <w:rsid w:val="00516AC7"/>
    <w:rsid w:val="00666296"/>
    <w:rsid w:val="0068091F"/>
    <w:rsid w:val="006D3240"/>
    <w:rsid w:val="006D7098"/>
    <w:rsid w:val="007465B2"/>
    <w:rsid w:val="0079170B"/>
    <w:rsid w:val="0079570A"/>
    <w:rsid w:val="007B291F"/>
    <w:rsid w:val="00814364"/>
    <w:rsid w:val="008304D5"/>
    <w:rsid w:val="0084691B"/>
    <w:rsid w:val="0084728B"/>
    <w:rsid w:val="008563D7"/>
    <w:rsid w:val="00860EB0"/>
    <w:rsid w:val="008C6DF6"/>
    <w:rsid w:val="009060A2"/>
    <w:rsid w:val="00936AB3"/>
    <w:rsid w:val="00943F77"/>
    <w:rsid w:val="00996B6A"/>
    <w:rsid w:val="009F145A"/>
    <w:rsid w:val="00A027D3"/>
    <w:rsid w:val="00A23648"/>
    <w:rsid w:val="00A32F0E"/>
    <w:rsid w:val="00A62760"/>
    <w:rsid w:val="00AC3C4A"/>
    <w:rsid w:val="00AD1A36"/>
    <w:rsid w:val="00AD76B2"/>
    <w:rsid w:val="00B03746"/>
    <w:rsid w:val="00B156CE"/>
    <w:rsid w:val="00B21435"/>
    <w:rsid w:val="00B6746D"/>
    <w:rsid w:val="00B770E6"/>
    <w:rsid w:val="00BC40D7"/>
    <w:rsid w:val="00C202FB"/>
    <w:rsid w:val="00C30F11"/>
    <w:rsid w:val="00C74FF0"/>
    <w:rsid w:val="00CD5746"/>
    <w:rsid w:val="00CF43F5"/>
    <w:rsid w:val="00D428DC"/>
    <w:rsid w:val="00D55535"/>
    <w:rsid w:val="00D81F31"/>
    <w:rsid w:val="00DC0E58"/>
    <w:rsid w:val="00DD5D2C"/>
    <w:rsid w:val="00DE038E"/>
    <w:rsid w:val="00E86A3B"/>
    <w:rsid w:val="00EF6BB7"/>
    <w:rsid w:val="00F3192C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164D"/>
  <w15:docId w15:val="{D9BA18D6-DAF3-7C41-93DC-19ADCFD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8B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728B"/>
    <w:pPr>
      <w:spacing w:after="0" w:line="240" w:lineRule="auto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28B"/>
    <w:pPr>
      <w:spacing w:before="120"/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28B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B3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36AB3"/>
    <w:rPr>
      <w:rFonts w:ascii="Franklin Gothic Book" w:hAnsi="Franklin Gothic Book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AB3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36AB3"/>
    <w:rPr>
      <w:rFonts w:ascii="Franklin Gothic Book" w:hAnsi="Franklin Gothic Book"/>
      <w:color w:val="000000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9060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28B"/>
    <w:pPr>
      <w:spacing w:before="120"/>
      <w:ind w:left="720"/>
    </w:pPr>
  </w:style>
  <w:style w:type="paragraph" w:customStyle="1" w:styleId="SubheadingsMEP">
    <w:name w:val="Subheadings MEP"/>
    <w:basedOn w:val="Heading3"/>
    <w:qFormat/>
    <w:rsid w:val="0084728B"/>
    <w:pPr>
      <w:spacing w:before="240" w:after="0"/>
    </w:pPr>
    <w:rPr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28B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paragraph" w:customStyle="1" w:styleId="Content-NoTable">
    <w:name w:val="Content-No Table"/>
    <w:basedOn w:val="Normal"/>
    <w:qFormat/>
    <w:rsid w:val="0084728B"/>
    <w:pPr>
      <w:spacing w:before="240" w:after="240"/>
      <w:contextualSpacing/>
    </w:pPr>
  </w:style>
  <w:style w:type="paragraph" w:customStyle="1" w:styleId="IDRListParagraph">
    <w:name w:val="IDR List Paragraph"/>
    <w:basedOn w:val="BodyText"/>
    <w:link w:val="IDRListParagraphChar"/>
    <w:qFormat/>
    <w:rsid w:val="0084728B"/>
    <w:pPr>
      <w:numPr>
        <w:numId w:val="5"/>
      </w:numPr>
      <w:spacing w:before="120"/>
      <w:ind w:hanging="360"/>
    </w:pPr>
    <w:rPr>
      <w:rFonts w:eastAsia="Times New Roman" w:cs="Times New Roman"/>
      <w:iCs/>
      <w:color w:val="auto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84728B"/>
    <w:rPr>
      <w:rFonts w:ascii="Franklin Gothic Book" w:eastAsia="Times New Roman" w:hAnsi="Franklin Gothic Book" w:cs="Times New Roman"/>
      <w:iCs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28B"/>
  </w:style>
  <w:style w:type="character" w:customStyle="1" w:styleId="BodyTextChar">
    <w:name w:val="Body Text Char"/>
    <w:basedOn w:val="DefaultParagraphFont"/>
    <w:link w:val="BodyText"/>
    <w:uiPriority w:val="99"/>
    <w:semiHidden/>
    <w:rsid w:val="0084728B"/>
  </w:style>
  <w:style w:type="character" w:customStyle="1" w:styleId="Style1">
    <w:name w:val="Style1"/>
    <w:basedOn w:val="DefaultParagraphFont"/>
    <w:uiPriority w:val="1"/>
    <w:qFormat/>
    <w:rsid w:val="0084728B"/>
    <w:rPr>
      <w:rFonts w:ascii="Franklin Gothic Medium" w:hAnsi="Franklin Gothic Medium"/>
      <w:b w:val="0"/>
    </w:rPr>
  </w:style>
  <w:style w:type="character" w:customStyle="1" w:styleId="MEPBold">
    <w:name w:val="MEP Bold"/>
    <w:basedOn w:val="DefaultParagraphFont"/>
    <w:uiPriority w:val="1"/>
    <w:qFormat/>
    <w:rsid w:val="0084728B"/>
    <w:rPr>
      <w:rFonts w:ascii="Franklin Gothic Medium" w:hAnsi="Franklin Gothic Medium"/>
      <w:b w:val="0"/>
    </w:rPr>
  </w:style>
  <w:style w:type="character" w:customStyle="1" w:styleId="HyperlinkMEP">
    <w:name w:val="Hyperlink MEP"/>
    <w:basedOn w:val="DefaultParagraphFont"/>
    <w:uiPriority w:val="1"/>
    <w:qFormat/>
    <w:rsid w:val="0084728B"/>
    <w:rPr>
      <w:color w:val="0000FF"/>
      <w:u w:val="single"/>
    </w:rPr>
  </w:style>
  <w:style w:type="paragraph" w:customStyle="1" w:styleId="Normal-FrankGothicMedium12pt">
    <w:name w:val="Normal - Frank Gothic Medium 12pt"/>
    <w:basedOn w:val="Normal"/>
    <w:qFormat/>
    <w:rsid w:val="0084728B"/>
    <w:pPr>
      <w:spacing w:after="0"/>
    </w:pPr>
    <w:rPr>
      <w:rFonts w:ascii="Franklin Gothic Medium" w:hAnsi="Franklin Gothic Medium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728B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4728B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28B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Emphasis">
    <w:name w:val="Emphasis"/>
    <w:uiPriority w:val="20"/>
    <w:qFormat/>
    <w:rsid w:val="0084728B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C3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P_New_Directors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E71E-AA0E-F04A-A6F2-2B875532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Thrift</dc:creator>
  <cp:lastModifiedBy>Hansen, Britta</cp:lastModifiedBy>
  <cp:revision>4</cp:revision>
  <dcterms:created xsi:type="dcterms:W3CDTF">2019-04-15T14:55:00Z</dcterms:created>
  <dcterms:modified xsi:type="dcterms:W3CDTF">2019-04-16T12:36:00Z</dcterms:modified>
</cp:coreProperties>
</file>